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5FB77" w14:textId="77777777" w:rsidR="00403C02" w:rsidRDefault="00403C02" w:rsidP="00403C02">
      <w:pPr>
        <w:pStyle w:val="Heading1"/>
      </w:pPr>
      <w:bookmarkStart w:id="0" w:name="_Hlk73535389"/>
      <w:r>
        <w:t>What is a Cultural Recognition Order?</w:t>
      </w:r>
    </w:p>
    <w:p w14:paraId="4B1CD620" w14:textId="6505860C" w:rsidR="00403C02" w:rsidRDefault="00403C02" w:rsidP="00403C02">
      <w:pPr>
        <w:rPr>
          <w:sz w:val="22"/>
          <w:szCs w:val="22"/>
          <w:lang w:eastAsia="en-US"/>
        </w:rPr>
      </w:pPr>
      <w:r w:rsidRPr="009206DC">
        <w:rPr>
          <w:sz w:val="22"/>
          <w:szCs w:val="22"/>
          <w:lang w:eastAsia="en-US"/>
        </w:rPr>
        <w:t>A Cultural Recognition Order</w:t>
      </w:r>
      <w:r>
        <w:rPr>
          <w:sz w:val="22"/>
          <w:szCs w:val="22"/>
          <w:lang w:eastAsia="en-US"/>
        </w:rPr>
        <w:t xml:space="preserve"> </w:t>
      </w:r>
      <w:r w:rsidRPr="009206DC">
        <w:rPr>
          <w:sz w:val="22"/>
          <w:szCs w:val="22"/>
          <w:lang w:eastAsia="en-US"/>
        </w:rPr>
        <w:t xml:space="preserve">is </w:t>
      </w:r>
      <w:r>
        <w:rPr>
          <w:sz w:val="22"/>
          <w:szCs w:val="22"/>
          <w:lang w:eastAsia="en-US"/>
        </w:rPr>
        <w:t>an order made b</w:t>
      </w:r>
      <w:r w:rsidR="009D7A3D">
        <w:rPr>
          <w:sz w:val="22"/>
          <w:szCs w:val="22"/>
          <w:lang w:eastAsia="en-US"/>
        </w:rPr>
        <w:t>y</w:t>
      </w:r>
      <w:r>
        <w:rPr>
          <w:sz w:val="22"/>
          <w:szCs w:val="22"/>
          <w:lang w:eastAsia="en-US"/>
        </w:rPr>
        <w:t xml:space="preserve"> the Commissioner (Meriba Omasker Kaziw Kazipa) and will permanently transfer a person’s parentage from the birth parents to the cultural parents. The making of an order provides legal recognition of Torres Strait Islander traditional child rearing practice and</w:t>
      </w:r>
      <w:r w:rsidRPr="00397D2D">
        <w:t xml:space="preserve"> </w:t>
      </w:r>
      <w:r w:rsidRPr="00397D2D">
        <w:rPr>
          <w:sz w:val="22"/>
          <w:szCs w:val="22"/>
          <w:lang w:eastAsia="en-US"/>
        </w:rPr>
        <w:t>will resolve longstanding issues faced by Torres Strait Islanders whose legal identity does not reflect their cultural identity and lived experience.</w:t>
      </w:r>
    </w:p>
    <w:p w14:paraId="2C4F77EC" w14:textId="77777777" w:rsidR="00403C02" w:rsidRDefault="00403C02" w:rsidP="00403C02">
      <w:pPr>
        <w:rPr>
          <w:sz w:val="22"/>
          <w:szCs w:val="22"/>
          <w:lang w:eastAsia="en-US"/>
        </w:rPr>
      </w:pPr>
      <w:r>
        <w:rPr>
          <w:sz w:val="22"/>
          <w:szCs w:val="22"/>
          <w:lang w:eastAsia="en-US"/>
        </w:rPr>
        <w:t xml:space="preserve">As the parental responsibility is permanently transferred once a Cultural Recognition Order is made, it is recommended that those considering applying for legal recognition seek </w:t>
      </w:r>
      <w:hyperlink r:id="rId10" w:history="1">
        <w:r w:rsidRPr="0046557D">
          <w:rPr>
            <w:rStyle w:val="Hyperlink"/>
            <w:sz w:val="22"/>
            <w:szCs w:val="22"/>
            <w:lang w:eastAsia="en-US"/>
          </w:rPr>
          <w:t>legal advice</w:t>
        </w:r>
      </w:hyperlink>
      <w:r>
        <w:rPr>
          <w:sz w:val="22"/>
          <w:szCs w:val="22"/>
          <w:lang w:eastAsia="en-US"/>
        </w:rPr>
        <w:t xml:space="preserve"> on the impacts a Cultural Recognition Order will have. </w:t>
      </w:r>
    </w:p>
    <w:p w14:paraId="7FB85A98" w14:textId="77777777" w:rsidR="0046557D" w:rsidRPr="009206DC" w:rsidRDefault="0046557D" w:rsidP="00403C02">
      <w:pPr>
        <w:rPr>
          <w:sz w:val="22"/>
          <w:szCs w:val="22"/>
          <w:lang w:eastAsia="en-US"/>
        </w:rPr>
      </w:pPr>
      <w:r>
        <w:rPr>
          <w:sz w:val="22"/>
          <w:szCs w:val="22"/>
          <w:lang w:eastAsia="en-US"/>
        </w:rPr>
        <w:t>Further information about the outcomes of a Cultural Recognition Order is available at</w:t>
      </w:r>
      <w:r w:rsidRPr="0046557D">
        <w:t xml:space="preserve"> </w:t>
      </w:r>
      <w:hyperlink r:id="rId11" w:history="1">
        <w:r w:rsidRPr="002F2D02">
          <w:rPr>
            <w:rStyle w:val="Hyperlink"/>
            <w:sz w:val="22"/>
            <w:szCs w:val="22"/>
            <w:lang w:eastAsia="en-US"/>
          </w:rPr>
          <w:t>https://www.qld.gov.au/firstnations/family-social-support/torres-strait-islander-traditional-child-rearing-practice</w:t>
        </w:r>
      </w:hyperlink>
      <w:r>
        <w:rPr>
          <w:sz w:val="22"/>
          <w:szCs w:val="22"/>
          <w:lang w:eastAsia="en-US"/>
        </w:rPr>
        <w:t xml:space="preserve">. </w:t>
      </w:r>
    </w:p>
    <w:bookmarkEnd w:id="0"/>
    <w:p w14:paraId="5E786C75" w14:textId="77777777" w:rsidR="00403C02" w:rsidRDefault="00403C02" w:rsidP="007465C6">
      <w:pPr>
        <w:pStyle w:val="Heading1"/>
        <w:spacing w:before="240"/>
      </w:pPr>
      <w:r>
        <w:t>Who can apply for a Cultural Recognition Order?</w:t>
      </w:r>
    </w:p>
    <w:p w14:paraId="05D17AEA" w14:textId="325BE9F4" w:rsidR="009D7A3D" w:rsidRDefault="009D7A3D" w:rsidP="009D7A3D">
      <w:pPr>
        <w:rPr>
          <w:sz w:val="22"/>
          <w:szCs w:val="22"/>
          <w:lang w:eastAsia="en-US"/>
        </w:rPr>
      </w:pPr>
      <w:r w:rsidRPr="009D7A3D">
        <w:rPr>
          <w:sz w:val="22"/>
          <w:szCs w:val="22"/>
          <w:lang w:eastAsia="en-US"/>
        </w:rPr>
        <w:t xml:space="preserve">Torres Strait Islander families who are raising a child, and a Torres Strait Islander person over 18 year of age who has been raised, under </w:t>
      </w:r>
      <w:proofErr w:type="spellStart"/>
      <w:r w:rsidRPr="009D7A3D">
        <w:rPr>
          <w:sz w:val="22"/>
          <w:szCs w:val="22"/>
          <w:lang w:eastAsia="en-US"/>
        </w:rPr>
        <w:t>Ailan</w:t>
      </w:r>
      <w:proofErr w:type="spellEnd"/>
      <w:r w:rsidRPr="009D7A3D">
        <w:rPr>
          <w:sz w:val="22"/>
          <w:szCs w:val="22"/>
          <w:lang w:eastAsia="en-US"/>
        </w:rPr>
        <w:t xml:space="preserve"> </w:t>
      </w:r>
      <w:proofErr w:type="spellStart"/>
      <w:r w:rsidRPr="009D7A3D">
        <w:rPr>
          <w:sz w:val="22"/>
          <w:szCs w:val="22"/>
          <w:lang w:eastAsia="en-US"/>
        </w:rPr>
        <w:t>Kastom</w:t>
      </w:r>
      <w:proofErr w:type="spellEnd"/>
      <w:r w:rsidRPr="009D7A3D">
        <w:rPr>
          <w:sz w:val="22"/>
          <w:szCs w:val="22"/>
          <w:lang w:eastAsia="en-US"/>
        </w:rPr>
        <w:t xml:space="preserve"> child rearing practice can apply for a Cultural Recognition Order</w:t>
      </w:r>
      <w:r w:rsidR="007465C6">
        <w:rPr>
          <w:sz w:val="22"/>
          <w:szCs w:val="22"/>
          <w:lang w:eastAsia="en-US"/>
        </w:rPr>
        <w:t>, if:</w:t>
      </w:r>
      <w:r w:rsidRPr="009D7A3D">
        <w:rPr>
          <w:sz w:val="22"/>
          <w:szCs w:val="22"/>
          <w:lang w:eastAsia="en-US"/>
        </w:rPr>
        <w:t xml:space="preserve"> </w:t>
      </w:r>
    </w:p>
    <w:p w14:paraId="7E06C9F6" w14:textId="77777777" w:rsidR="007465C6" w:rsidRPr="007465C6" w:rsidRDefault="007465C6" w:rsidP="007465C6">
      <w:pPr>
        <w:numPr>
          <w:ilvl w:val="0"/>
          <w:numId w:val="12"/>
        </w:numPr>
        <w:rPr>
          <w:sz w:val="22"/>
          <w:szCs w:val="22"/>
          <w:lang w:eastAsia="en-US"/>
        </w:rPr>
      </w:pPr>
      <w:r w:rsidRPr="007465C6">
        <w:rPr>
          <w:sz w:val="22"/>
          <w:szCs w:val="22"/>
          <w:lang w:eastAsia="en-US"/>
        </w:rPr>
        <w:t xml:space="preserve">the person’s birth (the child or adult) was registered in Queensland, and  </w:t>
      </w:r>
    </w:p>
    <w:p w14:paraId="657ECC9D" w14:textId="77777777" w:rsidR="007465C6" w:rsidRPr="007465C6" w:rsidRDefault="007465C6" w:rsidP="007465C6">
      <w:pPr>
        <w:numPr>
          <w:ilvl w:val="0"/>
          <w:numId w:val="12"/>
        </w:numPr>
        <w:rPr>
          <w:sz w:val="22"/>
          <w:szCs w:val="22"/>
          <w:lang w:eastAsia="en-US"/>
        </w:rPr>
      </w:pPr>
      <w:r w:rsidRPr="007465C6">
        <w:rPr>
          <w:sz w:val="22"/>
          <w:szCs w:val="22"/>
          <w:lang w:eastAsia="en-US"/>
        </w:rPr>
        <w:t>at least one birth parent is a Torres Strait Islander person, and</w:t>
      </w:r>
    </w:p>
    <w:p w14:paraId="4C7C92C1" w14:textId="77777777" w:rsidR="007465C6" w:rsidRPr="007465C6" w:rsidRDefault="007465C6" w:rsidP="007465C6">
      <w:pPr>
        <w:numPr>
          <w:ilvl w:val="0"/>
          <w:numId w:val="12"/>
        </w:numPr>
        <w:rPr>
          <w:sz w:val="22"/>
          <w:szCs w:val="22"/>
          <w:lang w:eastAsia="en-US"/>
        </w:rPr>
      </w:pPr>
      <w:r w:rsidRPr="007465C6">
        <w:rPr>
          <w:sz w:val="22"/>
          <w:szCs w:val="22"/>
          <w:lang w:eastAsia="en-US"/>
        </w:rPr>
        <w:t>at least one cultural parent is a Torres Strait Islander person.</w:t>
      </w:r>
    </w:p>
    <w:p w14:paraId="6216C948" w14:textId="77777777" w:rsidR="007465C6" w:rsidRPr="007465C6" w:rsidRDefault="007465C6" w:rsidP="007465C6">
      <w:pPr>
        <w:rPr>
          <w:sz w:val="22"/>
          <w:szCs w:val="22"/>
          <w:lang w:eastAsia="en-US"/>
        </w:rPr>
      </w:pPr>
      <w:r w:rsidRPr="007465C6">
        <w:rPr>
          <w:sz w:val="22"/>
          <w:szCs w:val="22"/>
          <w:lang w:eastAsia="en-US"/>
        </w:rPr>
        <w:t xml:space="preserve">Where the application is about a person who is a child, it can only be made: </w:t>
      </w:r>
    </w:p>
    <w:p w14:paraId="1F34C0D3" w14:textId="77777777" w:rsidR="007465C6" w:rsidRPr="007465C6" w:rsidRDefault="007465C6" w:rsidP="007465C6">
      <w:pPr>
        <w:numPr>
          <w:ilvl w:val="0"/>
          <w:numId w:val="12"/>
        </w:numPr>
        <w:rPr>
          <w:sz w:val="22"/>
          <w:szCs w:val="22"/>
          <w:lang w:eastAsia="en-US"/>
        </w:rPr>
      </w:pPr>
      <w:r w:rsidRPr="007465C6">
        <w:rPr>
          <w:sz w:val="22"/>
          <w:szCs w:val="22"/>
          <w:lang w:eastAsia="en-US"/>
        </w:rPr>
        <w:t xml:space="preserve">by the child’s birth parents and the cultural parents, (unless a dispensation of consent order is granted by the court), and </w:t>
      </w:r>
    </w:p>
    <w:p w14:paraId="45D6272F" w14:textId="77777777" w:rsidR="007465C6" w:rsidRPr="007465C6" w:rsidRDefault="007465C6" w:rsidP="007465C6">
      <w:pPr>
        <w:numPr>
          <w:ilvl w:val="0"/>
          <w:numId w:val="12"/>
        </w:numPr>
        <w:rPr>
          <w:sz w:val="22"/>
          <w:szCs w:val="22"/>
          <w:lang w:eastAsia="en-US"/>
        </w:rPr>
      </w:pPr>
      <w:r w:rsidRPr="007465C6">
        <w:rPr>
          <w:sz w:val="22"/>
          <w:szCs w:val="22"/>
          <w:lang w:eastAsia="en-US"/>
        </w:rPr>
        <w:t xml:space="preserve">if both the birth and cultural parents are at least 18 years of age, and </w:t>
      </w:r>
    </w:p>
    <w:p w14:paraId="43AA0952" w14:textId="77777777" w:rsidR="007465C6" w:rsidRPr="007465C6" w:rsidRDefault="007465C6" w:rsidP="007465C6">
      <w:pPr>
        <w:numPr>
          <w:ilvl w:val="0"/>
          <w:numId w:val="12"/>
        </w:numPr>
        <w:rPr>
          <w:sz w:val="22"/>
          <w:szCs w:val="22"/>
          <w:lang w:eastAsia="en-US"/>
        </w:rPr>
      </w:pPr>
      <w:r w:rsidRPr="007465C6">
        <w:rPr>
          <w:sz w:val="22"/>
          <w:szCs w:val="22"/>
          <w:lang w:eastAsia="en-US"/>
        </w:rPr>
        <w:t xml:space="preserve">30 days, or more, after the child’s birth is registered. </w:t>
      </w:r>
    </w:p>
    <w:p w14:paraId="48F0F970" w14:textId="1E94753D" w:rsidR="00403C02" w:rsidRDefault="00403C02" w:rsidP="00403C02">
      <w:pPr>
        <w:rPr>
          <w:sz w:val="22"/>
          <w:szCs w:val="22"/>
          <w:lang w:eastAsia="en-US"/>
        </w:rPr>
      </w:pPr>
      <w:r w:rsidRPr="00FE1D09">
        <w:rPr>
          <w:sz w:val="22"/>
          <w:szCs w:val="22"/>
          <w:lang w:eastAsia="en-US"/>
        </w:rPr>
        <w:t>Where a Cultural Recognition Order is sought for an adult, that adult must make the application</w:t>
      </w:r>
      <w:r w:rsidR="007465C6">
        <w:rPr>
          <w:sz w:val="22"/>
          <w:szCs w:val="22"/>
          <w:lang w:eastAsia="en-US"/>
        </w:rPr>
        <w:t xml:space="preserve"> and </w:t>
      </w:r>
      <w:r w:rsidR="007465C6" w:rsidRPr="007465C6">
        <w:rPr>
          <w:sz w:val="22"/>
          <w:szCs w:val="22"/>
          <w:lang w:eastAsia="en-US"/>
        </w:rPr>
        <w:t xml:space="preserve">each of the birth and cultural parents must consent to the application. </w:t>
      </w:r>
      <w:r w:rsidRPr="00FE1D09">
        <w:rPr>
          <w:sz w:val="22"/>
          <w:szCs w:val="22"/>
          <w:lang w:eastAsia="en-US"/>
        </w:rPr>
        <w:t xml:space="preserve">  </w:t>
      </w:r>
    </w:p>
    <w:p w14:paraId="4B17DF0B" w14:textId="77777777" w:rsidR="007465C6" w:rsidRPr="007465C6" w:rsidRDefault="007465C6" w:rsidP="007465C6">
      <w:pPr>
        <w:rPr>
          <w:sz w:val="22"/>
          <w:szCs w:val="22"/>
          <w:lang w:eastAsia="en-US"/>
        </w:rPr>
      </w:pPr>
      <w:r w:rsidRPr="007465C6">
        <w:rPr>
          <w:sz w:val="22"/>
          <w:szCs w:val="22"/>
          <w:lang w:eastAsia="en-US"/>
        </w:rPr>
        <w:t xml:space="preserve">Consent must be provided by all living parents, unless a dispensation of consent order has been granted by the court. </w:t>
      </w:r>
      <w:r w:rsidRPr="007465C6">
        <w:rPr>
          <w:sz w:val="22"/>
          <w:szCs w:val="22"/>
          <w:lang w:val="en-US" w:eastAsia="en-US"/>
        </w:rPr>
        <w:t xml:space="preserve">It is recommended that parties seek </w:t>
      </w:r>
      <w:hyperlink r:id="rId12" w:history="1">
        <w:r w:rsidRPr="007465C6">
          <w:rPr>
            <w:rStyle w:val="Hyperlink"/>
            <w:sz w:val="22"/>
            <w:szCs w:val="22"/>
            <w:lang w:eastAsia="en-US"/>
          </w:rPr>
          <w:t>legal advice</w:t>
        </w:r>
      </w:hyperlink>
      <w:r w:rsidRPr="007465C6">
        <w:rPr>
          <w:sz w:val="22"/>
          <w:szCs w:val="22"/>
          <w:lang w:eastAsia="en-US"/>
        </w:rPr>
        <w:t xml:space="preserve"> and assistance, if a dispensation of consent order is required before making an application for a Cultural Recognition Order. </w:t>
      </w:r>
    </w:p>
    <w:p w14:paraId="6DD47FC3" w14:textId="77777777" w:rsidR="007465C6" w:rsidRPr="007465C6" w:rsidRDefault="007465C6" w:rsidP="007465C6">
      <w:pPr>
        <w:rPr>
          <w:sz w:val="22"/>
          <w:szCs w:val="22"/>
          <w:lang w:eastAsia="en-US"/>
        </w:rPr>
      </w:pPr>
      <w:r w:rsidRPr="007465C6">
        <w:rPr>
          <w:sz w:val="22"/>
          <w:szCs w:val="22"/>
          <w:lang w:eastAsia="en-US"/>
        </w:rPr>
        <w:t xml:space="preserve">Nothing prevents an application from being made if a birth parent or cultural parent is deceased, however at least one birth parent and one cultural parent must be living at the time of the application. </w:t>
      </w:r>
    </w:p>
    <w:p w14:paraId="51214EE2" w14:textId="7DA0E534" w:rsidR="00403C02" w:rsidRDefault="00403C02" w:rsidP="006C0184">
      <w:pPr>
        <w:pStyle w:val="Heading1"/>
      </w:pPr>
      <w:r>
        <w:t>How to apply for a Cultural Recognition Order</w:t>
      </w:r>
      <w:r w:rsidR="007465C6">
        <w:t>?</w:t>
      </w:r>
    </w:p>
    <w:p w14:paraId="614AA785" w14:textId="279117E0" w:rsidR="007465C6" w:rsidRDefault="006C0184" w:rsidP="006C0184">
      <w:pPr>
        <w:rPr>
          <w:sz w:val="22"/>
          <w:szCs w:val="22"/>
          <w:lang w:eastAsia="en-US"/>
        </w:rPr>
      </w:pPr>
      <w:r w:rsidRPr="006C0184">
        <w:rPr>
          <w:sz w:val="22"/>
          <w:szCs w:val="22"/>
          <w:lang w:eastAsia="en-US"/>
        </w:rPr>
        <w:t xml:space="preserve">There are two types of application forms, one about a child and one about an adult. </w:t>
      </w:r>
      <w:r w:rsidR="007465C6" w:rsidRPr="007465C6">
        <w:rPr>
          <w:sz w:val="22"/>
          <w:szCs w:val="22"/>
          <w:lang w:eastAsia="en-US"/>
        </w:rPr>
        <w:t>The application for a Cultural Recognition Order is completed by</w:t>
      </w:r>
      <w:r>
        <w:rPr>
          <w:sz w:val="22"/>
          <w:szCs w:val="22"/>
          <w:lang w:eastAsia="en-US"/>
        </w:rPr>
        <w:t xml:space="preserve"> </w:t>
      </w:r>
      <w:r w:rsidR="007465C6" w:rsidRPr="007465C6">
        <w:rPr>
          <w:sz w:val="22"/>
          <w:szCs w:val="22"/>
          <w:lang w:eastAsia="en-US"/>
        </w:rPr>
        <w:t xml:space="preserve">the cultural and birth parents of the child or the adult applicant. </w:t>
      </w:r>
    </w:p>
    <w:p w14:paraId="498FA303" w14:textId="58EA176A" w:rsidR="006C0184" w:rsidRDefault="00403C02" w:rsidP="00403C02">
      <w:pPr>
        <w:rPr>
          <w:sz w:val="22"/>
          <w:szCs w:val="22"/>
          <w:lang w:eastAsia="en-US"/>
        </w:rPr>
      </w:pPr>
      <w:r>
        <w:rPr>
          <w:sz w:val="22"/>
          <w:szCs w:val="22"/>
          <w:lang w:eastAsia="en-US"/>
        </w:rPr>
        <w:t xml:space="preserve">The application forms </w:t>
      </w:r>
      <w:r w:rsidR="006C0184">
        <w:rPr>
          <w:sz w:val="22"/>
          <w:szCs w:val="22"/>
          <w:lang w:eastAsia="en-US"/>
        </w:rPr>
        <w:t xml:space="preserve">are </w:t>
      </w:r>
      <w:r w:rsidR="006C0184" w:rsidRPr="006C0184">
        <w:rPr>
          <w:sz w:val="22"/>
          <w:szCs w:val="22"/>
          <w:lang w:eastAsia="en-US"/>
        </w:rPr>
        <w:t xml:space="preserve">available </w:t>
      </w:r>
      <w:hyperlink r:id="rId13" w:history="1">
        <w:r w:rsidR="006C0184" w:rsidRPr="006C0184">
          <w:rPr>
            <w:rStyle w:val="Hyperlink"/>
            <w:sz w:val="22"/>
            <w:szCs w:val="22"/>
            <w:lang w:eastAsia="en-US"/>
          </w:rPr>
          <w:t>online</w:t>
        </w:r>
      </w:hyperlink>
      <w:r w:rsidR="006C0184" w:rsidRPr="006C0184">
        <w:rPr>
          <w:rStyle w:val="Hyperlink"/>
          <w:rFonts w:eastAsiaTheme="majorEastAsia"/>
          <w:sz w:val="22"/>
          <w:szCs w:val="22"/>
          <w:lang w:eastAsia="en-US"/>
        </w:rPr>
        <w:t xml:space="preserve"> at </w:t>
      </w:r>
      <w:r w:rsidR="006C0184" w:rsidRPr="006C0184">
        <w:rPr>
          <w:rStyle w:val="Hyperlink"/>
          <w:sz w:val="22"/>
          <w:szCs w:val="22"/>
          <w:lang w:eastAsia="en-US"/>
        </w:rPr>
        <w:t>www.qld.gov.au/firstnations</w:t>
      </w:r>
      <w:r>
        <w:rPr>
          <w:sz w:val="22"/>
          <w:szCs w:val="22"/>
          <w:lang w:eastAsia="en-US"/>
        </w:rPr>
        <w:t xml:space="preserve">. </w:t>
      </w:r>
      <w:r w:rsidR="006C0184" w:rsidRPr="006C0184">
        <w:rPr>
          <w:sz w:val="22"/>
          <w:szCs w:val="22"/>
          <w:lang w:eastAsia="en-US"/>
        </w:rPr>
        <w:t>Download the applicable form which can be filled out electronically or by hand before being signed by each party. The signature of each party must be witnessed appropriately.</w:t>
      </w:r>
    </w:p>
    <w:p w14:paraId="53F6080B" w14:textId="0B7515FC" w:rsidR="006C0184" w:rsidRPr="006C0184" w:rsidRDefault="00403C02" w:rsidP="006C0184">
      <w:pPr>
        <w:rPr>
          <w:sz w:val="22"/>
          <w:szCs w:val="22"/>
          <w:lang w:eastAsia="en-US"/>
        </w:rPr>
      </w:pPr>
      <w:r>
        <w:rPr>
          <w:sz w:val="22"/>
          <w:szCs w:val="22"/>
          <w:lang w:eastAsia="en-US"/>
        </w:rPr>
        <w:t xml:space="preserve">Before </w:t>
      </w:r>
      <w:proofErr w:type="gramStart"/>
      <w:r>
        <w:rPr>
          <w:sz w:val="22"/>
          <w:szCs w:val="22"/>
          <w:lang w:eastAsia="en-US"/>
        </w:rPr>
        <w:t>submitting an application</w:t>
      </w:r>
      <w:proofErr w:type="gramEnd"/>
      <w:r>
        <w:rPr>
          <w:sz w:val="22"/>
          <w:szCs w:val="22"/>
          <w:lang w:eastAsia="en-US"/>
        </w:rPr>
        <w:t xml:space="preserve">, it is recommended that you go through the application checklist to make sure nothing has been left out of the application. </w:t>
      </w:r>
      <w:r w:rsidR="006C0184" w:rsidRPr="006C0184">
        <w:rPr>
          <w:sz w:val="22"/>
          <w:szCs w:val="22"/>
          <w:lang w:eastAsia="en-US"/>
        </w:rPr>
        <w:t xml:space="preserve">A checklist is available </w:t>
      </w:r>
      <w:r w:rsidR="006C0184" w:rsidRPr="006C0184">
        <w:rPr>
          <w:sz w:val="22"/>
          <w:szCs w:val="22"/>
          <w:lang w:eastAsia="en-US"/>
        </w:rPr>
        <w:t xml:space="preserve">at </w:t>
      </w:r>
      <w:hyperlink r:id="rId14" w:history="1">
        <w:r w:rsidR="006C0184" w:rsidRPr="006C0184">
          <w:rPr>
            <w:rStyle w:val="Hyperlink"/>
            <w:sz w:val="22"/>
            <w:szCs w:val="22"/>
            <w:lang w:eastAsia="en-US"/>
          </w:rPr>
          <w:t>www.qld.gov.au/firstnations</w:t>
        </w:r>
      </w:hyperlink>
      <w:r w:rsidR="006C0184" w:rsidRPr="006C0184">
        <w:rPr>
          <w:sz w:val="22"/>
          <w:szCs w:val="22"/>
          <w:lang w:eastAsia="en-US"/>
        </w:rPr>
        <w:t xml:space="preserve">. </w:t>
      </w:r>
      <w:r>
        <w:rPr>
          <w:sz w:val="22"/>
          <w:szCs w:val="22"/>
          <w:lang w:eastAsia="en-US"/>
        </w:rPr>
        <w:t xml:space="preserve"> If you have any questions about making an application or accessing documents for an application, you can contact </w:t>
      </w:r>
      <w:r w:rsidR="006C0184" w:rsidRPr="006C0184">
        <w:rPr>
          <w:sz w:val="22"/>
          <w:szCs w:val="22"/>
          <w:lang w:eastAsia="en-US"/>
        </w:rPr>
        <w:t xml:space="preserve">the </w:t>
      </w:r>
      <w:hyperlink r:id="rId15" w:history="1">
        <w:r w:rsidR="006C0184" w:rsidRPr="006C0184">
          <w:rPr>
            <w:rStyle w:val="Hyperlink"/>
            <w:sz w:val="22"/>
            <w:szCs w:val="22"/>
            <w:lang w:eastAsia="en-US"/>
          </w:rPr>
          <w:t>Meriba Omasker Kaziw Kazipa Program Support Office</w:t>
        </w:r>
      </w:hyperlink>
      <w:r w:rsidR="006C0184" w:rsidRPr="006C0184">
        <w:rPr>
          <w:sz w:val="22"/>
          <w:szCs w:val="22"/>
          <w:u w:val="single"/>
          <w:lang w:eastAsia="en-US"/>
        </w:rPr>
        <w:t xml:space="preserve"> </w:t>
      </w:r>
      <w:r w:rsidR="006C0184" w:rsidRPr="006C0184">
        <w:rPr>
          <w:sz w:val="22"/>
          <w:szCs w:val="22"/>
          <w:lang w:eastAsia="en-US"/>
        </w:rPr>
        <w:t xml:space="preserve"> on 1800 571 102.</w:t>
      </w:r>
    </w:p>
    <w:p w14:paraId="2C3A47A1" w14:textId="77777777" w:rsidR="006C0184" w:rsidRDefault="006C0184" w:rsidP="0046557D">
      <w:pPr>
        <w:rPr>
          <w:sz w:val="22"/>
          <w:szCs w:val="22"/>
          <w:lang w:val="en-US" w:eastAsia="en-US"/>
        </w:rPr>
      </w:pPr>
      <w:bookmarkStart w:id="1" w:name="_Hlk82013882"/>
      <w:r w:rsidRPr="006C0184">
        <w:rPr>
          <w:sz w:val="22"/>
          <w:szCs w:val="22"/>
          <w:lang w:val="en-US" w:eastAsia="en-US"/>
        </w:rPr>
        <w:t xml:space="preserve">It is also recommended that before making an application for a Cultural Recognition Order all parents and adult applicants seek </w:t>
      </w:r>
      <w:hyperlink r:id="rId16" w:history="1">
        <w:r w:rsidRPr="006C0184">
          <w:rPr>
            <w:rStyle w:val="Hyperlink"/>
            <w:sz w:val="22"/>
            <w:szCs w:val="22"/>
            <w:lang w:eastAsia="en-US"/>
          </w:rPr>
          <w:t>legal advice</w:t>
        </w:r>
      </w:hyperlink>
      <w:r w:rsidRPr="006C0184">
        <w:rPr>
          <w:sz w:val="22"/>
          <w:szCs w:val="22"/>
          <w:lang w:eastAsia="en-US"/>
        </w:rPr>
        <w:t xml:space="preserve"> </w:t>
      </w:r>
      <w:bookmarkEnd w:id="1"/>
      <w:r w:rsidRPr="006C0184">
        <w:rPr>
          <w:sz w:val="22"/>
          <w:szCs w:val="22"/>
          <w:lang w:val="en-US" w:eastAsia="en-US"/>
        </w:rPr>
        <w:t xml:space="preserve">given the permanent nature of a Cultural Recognition Order. </w:t>
      </w:r>
    </w:p>
    <w:p w14:paraId="0D730F06" w14:textId="35FD61D0" w:rsidR="00403C02" w:rsidRDefault="00403C02" w:rsidP="007465C6">
      <w:pPr>
        <w:pStyle w:val="Heading1"/>
        <w:spacing w:before="240"/>
      </w:pPr>
      <w:r>
        <w:t>Who decides if a Cultural Recognition Order is made?</w:t>
      </w:r>
    </w:p>
    <w:p w14:paraId="296C75B8" w14:textId="522ECFF2" w:rsidR="00403C02" w:rsidRDefault="006C0184" w:rsidP="006C0184">
      <w:pPr>
        <w:rPr>
          <w:sz w:val="22"/>
          <w:szCs w:val="22"/>
          <w:lang w:eastAsia="en-US"/>
        </w:rPr>
      </w:pPr>
      <w:r w:rsidRPr="006C0184">
        <w:rPr>
          <w:sz w:val="22"/>
          <w:szCs w:val="22"/>
          <w:lang w:eastAsia="en-US"/>
        </w:rPr>
        <w:t xml:space="preserve">The Commissioner (Meriba Omasker Kaziw Kazipa) (the Commissioner) determines if a Cultural Recognition Order is to be made. </w:t>
      </w:r>
      <w:r w:rsidRPr="006C0184">
        <w:rPr>
          <w:sz w:val="22"/>
          <w:szCs w:val="22"/>
          <w:lang w:val="en-US" w:eastAsia="en-US"/>
        </w:rPr>
        <w:t>You can find out more about the Commissioner</w:t>
      </w:r>
      <w:r w:rsidRPr="006C0184">
        <w:rPr>
          <w:bCs/>
          <w:sz w:val="22"/>
          <w:szCs w:val="22"/>
          <w:lang w:val="en-US" w:eastAsia="en-US"/>
        </w:rPr>
        <w:t xml:space="preserve"> at </w:t>
      </w:r>
      <w:hyperlink r:id="rId17" w:history="1">
        <w:r w:rsidRPr="006C0184">
          <w:rPr>
            <w:rStyle w:val="Hyperlink"/>
            <w:sz w:val="22"/>
            <w:szCs w:val="22"/>
            <w:lang w:val="en-US" w:eastAsia="en-US"/>
          </w:rPr>
          <w:t>www.ocmokk.qld.gov.au</w:t>
        </w:r>
      </w:hyperlink>
      <w:r w:rsidRPr="006C0184">
        <w:rPr>
          <w:sz w:val="22"/>
          <w:szCs w:val="22"/>
          <w:lang w:val="en-US" w:eastAsia="en-US"/>
        </w:rPr>
        <w:t>.</w:t>
      </w:r>
    </w:p>
    <w:p w14:paraId="40ECD183" w14:textId="77777777" w:rsidR="00403C02" w:rsidRDefault="00403C02" w:rsidP="007465C6">
      <w:pPr>
        <w:pStyle w:val="Heading1"/>
        <w:spacing w:before="240"/>
      </w:pPr>
      <w:r>
        <w:t>How long does it take for a Cultural Recognition Order to be made?</w:t>
      </w:r>
    </w:p>
    <w:p w14:paraId="090A1627" w14:textId="77777777" w:rsidR="006C0184" w:rsidRPr="006C0184" w:rsidRDefault="006C0184" w:rsidP="006C0184">
      <w:pPr>
        <w:pStyle w:val="CommentText"/>
        <w:rPr>
          <w:rFonts w:ascii="Verdana" w:hAnsi="Verdana"/>
          <w:sz w:val="22"/>
          <w:szCs w:val="22"/>
          <w:lang w:val="en-AU" w:eastAsia="en-US"/>
        </w:rPr>
      </w:pPr>
      <w:r w:rsidRPr="006C0184">
        <w:rPr>
          <w:rFonts w:ascii="Verdana" w:hAnsi="Verdana"/>
          <w:sz w:val="22"/>
          <w:szCs w:val="22"/>
          <w:lang w:val="en-AU" w:eastAsia="en-US"/>
        </w:rPr>
        <w:t xml:space="preserve">The Commissioner will </w:t>
      </w:r>
      <w:proofErr w:type="gramStart"/>
      <w:r w:rsidRPr="006C0184">
        <w:rPr>
          <w:rFonts w:ascii="Verdana" w:hAnsi="Verdana"/>
          <w:sz w:val="22"/>
          <w:szCs w:val="22"/>
          <w:lang w:val="en-AU" w:eastAsia="en-US"/>
        </w:rPr>
        <w:t>make a decision</w:t>
      </w:r>
      <w:proofErr w:type="gramEnd"/>
      <w:r w:rsidRPr="006C0184">
        <w:rPr>
          <w:rFonts w:ascii="Verdana" w:hAnsi="Verdana"/>
          <w:sz w:val="22"/>
          <w:szCs w:val="22"/>
          <w:lang w:val="en-AU" w:eastAsia="en-US"/>
        </w:rPr>
        <w:t xml:space="preserve"> regarding each application within a reasonable amount of time and considers each application individually. The Commissioner may need to ask applicants for more information to assist in the making of a Cultural Recognition Order.</w:t>
      </w:r>
    </w:p>
    <w:p w14:paraId="77A5CBC6" w14:textId="77777777" w:rsidR="00403C02" w:rsidRDefault="00403C02" w:rsidP="007465C6">
      <w:pPr>
        <w:pStyle w:val="Heading1"/>
        <w:spacing w:before="240"/>
      </w:pPr>
      <w:r>
        <w:t>What happens after a Cultural Recognition Order is made?</w:t>
      </w:r>
    </w:p>
    <w:p w14:paraId="338B2D5A" w14:textId="2479C35A" w:rsidR="007465C6" w:rsidRPr="007465C6" w:rsidRDefault="007465C6" w:rsidP="00DA77B0">
      <w:pPr>
        <w:tabs>
          <w:tab w:val="num" w:pos="720"/>
        </w:tabs>
        <w:rPr>
          <w:sz w:val="22"/>
          <w:szCs w:val="22"/>
          <w:lang w:eastAsia="en-US"/>
        </w:rPr>
      </w:pPr>
      <w:r w:rsidRPr="007465C6">
        <w:rPr>
          <w:sz w:val="22"/>
          <w:szCs w:val="22"/>
          <w:lang w:eastAsia="en-US"/>
        </w:rPr>
        <w:t>If a Cultural Recognition Order is made, the Commissioner will write to all parties to the application and provide</w:t>
      </w:r>
      <w:r w:rsidR="00DA77B0">
        <w:rPr>
          <w:sz w:val="22"/>
          <w:szCs w:val="22"/>
          <w:lang w:eastAsia="en-US"/>
        </w:rPr>
        <w:t xml:space="preserve"> </w:t>
      </w:r>
      <w:r w:rsidRPr="007465C6">
        <w:rPr>
          <w:sz w:val="22"/>
          <w:szCs w:val="22"/>
          <w:lang w:eastAsia="en-US"/>
        </w:rPr>
        <w:t>a statement of reasons for this decision, and</w:t>
      </w:r>
      <w:r w:rsidR="00DA77B0">
        <w:rPr>
          <w:sz w:val="22"/>
          <w:szCs w:val="22"/>
          <w:lang w:eastAsia="en-US"/>
        </w:rPr>
        <w:t xml:space="preserve"> </w:t>
      </w:r>
      <w:r w:rsidRPr="007465C6">
        <w:rPr>
          <w:sz w:val="22"/>
          <w:szCs w:val="22"/>
          <w:lang w:eastAsia="en-US"/>
        </w:rPr>
        <w:t>a copy of the Cultural Recognition Order.</w:t>
      </w:r>
    </w:p>
    <w:p w14:paraId="7D579FDF" w14:textId="77777777" w:rsidR="007465C6" w:rsidRPr="007465C6" w:rsidRDefault="007465C6" w:rsidP="007465C6">
      <w:pPr>
        <w:rPr>
          <w:sz w:val="22"/>
          <w:szCs w:val="22"/>
          <w:lang w:eastAsia="en-US"/>
        </w:rPr>
      </w:pPr>
      <w:r w:rsidRPr="007465C6">
        <w:rPr>
          <w:sz w:val="22"/>
          <w:szCs w:val="22"/>
          <w:lang w:eastAsia="en-US"/>
        </w:rPr>
        <w:t>The Commissioner will provide the Cultural Recognition Order to the Registrar of Births, Deaths and Marriages. The Registrar will register the transfer of parentage as stated by the Cultural Recognition Order and close the previous birth entry of the person.</w:t>
      </w:r>
    </w:p>
    <w:p w14:paraId="259D2779" w14:textId="77777777" w:rsidR="007465C6" w:rsidRPr="007465C6" w:rsidRDefault="007465C6" w:rsidP="007465C6">
      <w:pPr>
        <w:rPr>
          <w:sz w:val="22"/>
          <w:szCs w:val="22"/>
          <w:lang w:val="en-US" w:eastAsia="en-US"/>
        </w:rPr>
      </w:pPr>
      <w:r w:rsidRPr="007465C6">
        <w:rPr>
          <w:sz w:val="22"/>
          <w:szCs w:val="22"/>
          <w:lang w:val="en-US" w:eastAsia="en-US"/>
        </w:rPr>
        <w:t xml:space="preserve">For a new birth certificate to be issued to the cultural parent or adult applicant, an application will need to be submitted to the Registry of Births, Deaths and Marriages. </w:t>
      </w:r>
    </w:p>
    <w:p w14:paraId="2D881422" w14:textId="3D0D65BF" w:rsidR="000A7B6A" w:rsidRPr="000A7B6A" w:rsidRDefault="007465C6" w:rsidP="000A7B6A">
      <w:pPr>
        <w:rPr>
          <w:b/>
          <w:bCs/>
          <w:color w:val="3E4A4B"/>
          <w:sz w:val="23"/>
          <w:szCs w:val="23"/>
        </w:rPr>
      </w:pPr>
      <w:r w:rsidRPr="007465C6">
        <w:rPr>
          <w:sz w:val="22"/>
          <w:szCs w:val="22"/>
          <w:lang w:val="en-US" w:eastAsia="en-US"/>
        </w:rPr>
        <w:t xml:space="preserve">If you have any questions or require assistance applying for the new birth certificate you can call the Registry of </w:t>
      </w:r>
      <w:hyperlink r:id="rId18" w:history="1">
        <w:r w:rsidRPr="0046557D">
          <w:rPr>
            <w:rStyle w:val="Hyperlink"/>
            <w:sz w:val="22"/>
            <w:szCs w:val="22"/>
            <w:lang w:eastAsia="en-US"/>
          </w:rPr>
          <w:t>Births, Deaths and Marriages</w:t>
        </w:r>
      </w:hyperlink>
      <w:r w:rsidRPr="007465C6">
        <w:rPr>
          <w:sz w:val="22"/>
          <w:szCs w:val="22"/>
          <w:lang w:val="en-US" w:eastAsia="en-US"/>
        </w:rPr>
        <w:t xml:space="preserve"> on 13 74 68.</w:t>
      </w:r>
    </w:p>
    <w:sectPr w:rsidR="000A7B6A" w:rsidRPr="000A7B6A" w:rsidSect="000A7B6A">
      <w:headerReference w:type="default" r:id="rId19"/>
      <w:footerReference w:type="default" r:id="rId20"/>
      <w:pgSz w:w="11906" w:h="16838"/>
      <w:pgMar w:top="2268" w:right="851" w:bottom="124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8AFC2" w14:textId="77777777" w:rsidR="00820D30" w:rsidRDefault="00820D30" w:rsidP="009A4CAC">
      <w:r>
        <w:separator/>
      </w:r>
    </w:p>
  </w:endnote>
  <w:endnote w:type="continuationSeparator" w:id="0">
    <w:p w14:paraId="2AE4E53C" w14:textId="77777777" w:rsidR="00820D30" w:rsidRDefault="00820D30" w:rsidP="009A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61E33" w14:textId="77777777" w:rsidR="009A4CAC" w:rsidRPr="00022B2B" w:rsidRDefault="00022B2B" w:rsidP="000A7B6A">
    <w:pPr>
      <w:pStyle w:val="Footer"/>
    </w:pPr>
    <w:r w:rsidRPr="000A7B6A">
      <w:t>Page</w:t>
    </w:r>
    <w:r w:rsidRPr="00022B2B">
      <w:t xml:space="preserve"> </w:t>
    </w:r>
    <w:r w:rsidRPr="00022B2B">
      <w:rPr>
        <w:b/>
        <w:bCs/>
      </w:rPr>
      <w:fldChar w:fldCharType="begin"/>
    </w:r>
    <w:r w:rsidRPr="00022B2B">
      <w:rPr>
        <w:b/>
        <w:bCs/>
      </w:rPr>
      <w:instrText xml:space="preserve"> PAGE  \* Arabic  \* MERGEFORMAT </w:instrText>
    </w:r>
    <w:r w:rsidRPr="00022B2B">
      <w:rPr>
        <w:b/>
        <w:bCs/>
      </w:rPr>
      <w:fldChar w:fldCharType="separate"/>
    </w:r>
    <w:r w:rsidRPr="00022B2B">
      <w:rPr>
        <w:b/>
        <w:bCs/>
        <w:noProof/>
      </w:rPr>
      <w:t>2</w:t>
    </w:r>
    <w:r w:rsidRPr="00022B2B">
      <w:rPr>
        <w:b/>
        <w:bCs/>
      </w:rPr>
      <w:fldChar w:fldCharType="end"/>
    </w:r>
    <w:r w:rsidRPr="00022B2B">
      <w:t xml:space="preserve"> of </w:t>
    </w:r>
    <w:r w:rsidR="00820D30">
      <w:fldChar w:fldCharType="begin"/>
    </w:r>
    <w:r w:rsidR="00820D30">
      <w:instrText xml:space="preserve"> NUMPAGES  \* Arabic  \* MERGEFORMAT </w:instrText>
    </w:r>
    <w:r w:rsidR="00820D30">
      <w:fldChar w:fldCharType="separate"/>
    </w:r>
    <w:r w:rsidRPr="00022B2B">
      <w:rPr>
        <w:noProof/>
      </w:rPr>
      <w:t>2</w:t>
    </w:r>
    <w:r w:rsidR="00820D3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642DE" w14:textId="77777777" w:rsidR="00820D30" w:rsidRDefault="00820D30" w:rsidP="009A4CAC">
      <w:r>
        <w:separator/>
      </w:r>
    </w:p>
  </w:footnote>
  <w:footnote w:type="continuationSeparator" w:id="0">
    <w:p w14:paraId="50BFA138" w14:textId="77777777" w:rsidR="00820D30" w:rsidRDefault="00820D30" w:rsidP="009A4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864C7" w14:textId="77777777" w:rsidR="00403C02" w:rsidRDefault="009A4CAC" w:rsidP="000F461A">
    <w:pPr>
      <w:pStyle w:val="Header"/>
    </w:pPr>
    <w:r>
      <w:rPr>
        <w:noProof/>
      </w:rPr>
      <w:drawing>
        <wp:anchor distT="0" distB="0" distL="114300" distR="114300" simplePos="0" relativeHeight="251658240" behindDoc="1" locked="0" layoutInCell="1" allowOverlap="1" wp14:anchorId="242B822A" wp14:editId="45C506DB">
          <wp:simplePos x="0" y="0"/>
          <wp:positionH relativeFrom="column">
            <wp:posOffset>-540383</wp:posOffset>
          </wp:positionH>
          <wp:positionV relativeFrom="paragraph">
            <wp:posOffset>-450215</wp:posOffset>
          </wp:positionV>
          <wp:extent cx="7559995" cy="1423058"/>
          <wp:effectExtent l="0" t="0" r="0" b="0"/>
          <wp:wrapNone/>
          <wp:docPr id="1" name="Picture 1" descr="Contemporary aerial swirling water in vibrant blues, greens. Overlaid with a Torres Strait Islander insipired design. Office of the Commissioner and Queenlsand Government logo in right han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emporary aerial swirling water in vibrant blues, greens. Overlaid with a Torres Strait Islander insipired design. Office of the Commissioner and Queenlsand Government logo in right hand corner."/>
                  <pic:cNvPicPr/>
                </pic:nvPicPr>
                <pic:blipFill>
                  <a:blip r:embed="rId1">
                    <a:extLst>
                      <a:ext uri="{28A0092B-C50C-407E-A947-70E740481C1C}">
                        <a14:useLocalDpi xmlns:a14="http://schemas.microsoft.com/office/drawing/2010/main" val="0"/>
                      </a:ext>
                    </a:extLst>
                  </a:blip>
                  <a:stretch>
                    <a:fillRect/>
                  </a:stretch>
                </pic:blipFill>
                <pic:spPr>
                  <a:xfrm>
                    <a:off x="0" y="0"/>
                    <a:ext cx="7559995" cy="1423058"/>
                  </a:xfrm>
                  <a:prstGeom prst="rect">
                    <a:avLst/>
                  </a:prstGeom>
                </pic:spPr>
              </pic:pic>
            </a:graphicData>
          </a:graphic>
          <wp14:sizeRelH relativeFrom="margin">
            <wp14:pctWidth>0</wp14:pctWidth>
          </wp14:sizeRelH>
          <wp14:sizeRelV relativeFrom="margin">
            <wp14:pctHeight>0</wp14:pctHeight>
          </wp14:sizeRelV>
        </wp:anchor>
      </w:drawing>
    </w:r>
    <w:r w:rsidR="00403C02">
      <w:t>Factsheet:</w:t>
    </w:r>
  </w:p>
  <w:p w14:paraId="420EF6FC" w14:textId="77777777" w:rsidR="00403C02" w:rsidRPr="000A7B6A" w:rsidRDefault="00403C02" w:rsidP="000F461A">
    <w:pPr>
      <w:pStyle w:val="Header"/>
    </w:pPr>
    <w:r>
      <w:t>Cultural Recognition 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D6EE9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62F7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BE4C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50D7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8476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0C89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CC36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96F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BE35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3F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7A46E9"/>
    <w:multiLevelType w:val="hybridMultilevel"/>
    <w:tmpl w:val="148A5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AE4415"/>
    <w:multiLevelType w:val="hybridMultilevel"/>
    <w:tmpl w:val="D6DAF924"/>
    <w:lvl w:ilvl="0" w:tplc="0C090005">
      <w:start w:val="1"/>
      <w:numFmt w:val="bullet"/>
      <w:lvlText w:val=""/>
      <w:lvlJc w:val="left"/>
      <w:pPr>
        <w:tabs>
          <w:tab w:val="num" w:pos="540"/>
        </w:tabs>
        <w:ind w:left="540" w:hanging="360"/>
      </w:pPr>
      <w:rPr>
        <w:rFonts w:ascii="Wingdings" w:hAnsi="Wingdings" w:hint="default"/>
      </w:rPr>
    </w:lvl>
    <w:lvl w:ilvl="1" w:tplc="0C090001">
      <w:start w:val="1"/>
      <w:numFmt w:val="bullet"/>
      <w:lvlText w:val=""/>
      <w:lvlJc w:val="left"/>
      <w:pPr>
        <w:tabs>
          <w:tab w:val="num" w:pos="1260"/>
        </w:tabs>
        <w:ind w:left="1260" w:hanging="360"/>
      </w:pPr>
      <w:rPr>
        <w:rFonts w:ascii="Symbol" w:hAnsi="Symbol" w:hint="default"/>
      </w:rPr>
    </w:lvl>
    <w:lvl w:ilvl="2" w:tplc="0C090003">
      <w:start w:val="1"/>
      <w:numFmt w:val="bullet"/>
      <w:lvlText w:val="o"/>
      <w:lvlJc w:val="left"/>
      <w:pPr>
        <w:tabs>
          <w:tab w:val="num" w:pos="1980"/>
        </w:tabs>
        <w:ind w:left="1980" w:hanging="360"/>
      </w:pPr>
      <w:rPr>
        <w:rFonts w:ascii="Courier New" w:hAnsi="Courier New" w:cs="Courier New" w:hint="default"/>
      </w:rPr>
    </w:lvl>
    <w:lvl w:ilvl="3" w:tplc="844A91EA">
      <w:start w:val="1"/>
      <w:numFmt w:val="bullet"/>
      <w:pStyle w:val="secondarybullet"/>
      <w:lvlText w:val="-"/>
      <w:lvlJc w:val="left"/>
      <w:pPr>
        <w:tabs>
          <w:tab w:val="num" w:pos="2700"/>
        </w:tabs>
        <w:ind w:left="2700" w:hanging="360"/>
      </w:pPr>
      <w:rPr>
        <w:rFonts w:ascii="Courier New" w:hAnsi="Courier New" w:cs="Times New Roman" w:hint="default"/>
        <w:color w:val="auto"/>
      </w:rPr>
    </w:lvl>
    <w:lvl w:ilvl="4" w:tplc="0C090003">
      <w:start w:val="1"/>
      <w:numFmt w:val="bullet"/>
      <w:lvlText w:val="o"/>
      <w:lvlJc w:val="left"/>
      <w:pPr>
        <w:tabs>
          <w:tab w:val="num" w:pos="3420"/>
        </w:tabs>
        <w:ind w:left="3420" w:hanging="360"/>
      </w:pPr>
      <w:rPr>
        <w:rFonts w:ascii="Courier New" w:hAnsi="Courier New" w:cs="Courier New" w:hint="default"/>
      </w:rPr>
    </w:lvl>
    <w:lvl w:ilvl="5" w:tplc="0C090005">
      <w:start w:val="1"/>
      <w:numFmt w:val="bullet"/>
      <w:lvlText w:val=""/>
      <w:lvlJc w:val="left"/>
      <w:pPr>
        <w:tabs>
          <w:tab w:val="num" w:pos="4140"/>
        </w:tabs>
        <w:ind w:left="4140" w:hanging="360"/>
      </w:pPr>
      <w:rPr>
        <w:rFonts w:ascii="Wingdings" w:hAnsi="Wingdings" w:hint="default"/>
      </w:rPr>
    </w:lvl>
    <w:lvl w:ilvl="6" w:tplc="0C090001">
      <w:start w:val="1"/>
      <w:numFmt w:val="bullet"/>
      <w:lvlText w:val=""/>
      <w:lvlJc w:val="left"/>
      <w:pPr>
        <w:tabs>
          <w:tab w:val="num" w:pos="4860"/>
        </w:tabs>
        <w:ind w:left="4860" w:hanging="360"/>
      </w:pPr>
      <w:rPr>
        <w:rFonts w:ascii="Symbol" w:hAnsi="Symbol" w:hint="default"/>
      </w:rPr>
    </w:lvl>
    <w:lvl w:ilvl="7" w:tplc="0C090003">
      <w:start w:val="1"/>
      <w:numFmt w:val="bullet"/>
      <w:lvlText w:val="o"/>
      <w:lvlJc w:val="left"/>
      <w:pPr>
        <w:tabs>
          <w:tab w:val="num" w:pos="5580"/>
        </w:tabs>
        <w:ind w:left="5580" w:hanging="360"/>
      </w:pPr>
      <w:rPr>
        <w:rFonts w:ascii="Courier New" w:hAnsi="Courier New" w:cs="Courier New" w:hint="default"/>
      </w:rPr>
    </w:lvl>
    <w:lvl w:ilvl="8" w:tplc="0C090005">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A2"/>
    <w:rsid w:val="00022B2B"/>
    <w:rsid w:val="000409A2"/>
    <w:rsid w:val="00080CF2"/>
    <w:rsid w:val="000A7B6A"/>
    <w:rsid w:val="000B1A91"/>
    <w:rsid w:val="000F461A"/>
    <w:rsid w:val="002159B1"/>
    <w:rsid w:val="0034651C"/>
    <w:rsid w:val="00403C02"/>
    <w:rsid w:val="0046557D"/>
    <w:rsid w:val="00497DD1"/>
    <w:rsid w:val="005928C6"/>
    <w:rsid w:val="006C0184"/>
    <w:rsid w:val="007465C6"/>
    <w:rsid w:val="007A2832"/>
    <w:rsid w:val="00820D30"/>
    <w:rsid w:val="008E52B3"/>
    <w:rsid w:val="008F588B"/>
    <w:rsid w:val="009705AE"/>
    <w:rsid w:val="009A4CAC"/>
    <w:rsid w:val="009B4FB2"/>
    <w:rsid w:val="009D4EEF"/>
    <w:rsid w:val="009D7A3D"/>
    <w:rsid w:val="00DA77B0"/>
    <w:rsid w:val="00DC4271"/>
    <w:rsid w:val="00F601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F4F70"/>
  <w15:chartTrackingRefBased/>
  <w15:docId w15:val="{8D5C56D9-9911-4E41-A6D7-F12E3896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B6A"/>
    <w:pPr>
      <w:spacing w:after="120" w:line="276" w:lineRule="auto"/>
    </w:pPr>
    <w:rPr>
      <w:rFonts w:ascii="Verdana" w:eastAsia="Times New Roman" w:hAnsi="Verdana" w:cs="Arial"/>
      <w:sz w:val="20"/>
      <w:szCs w:val="21"/>
      <w:lang w:eastAsia="en-AU"/>
    </w:rPr>
  </w:style>
  <w:style w:type="paragraph" w:styleId="Heading1">
    <w:name w:val="heading 1"/>
    <w:basedOn w:val="Normal"/>
    <w:next w:val="Normal"/>
    <w:link w:val="Heading1Char"/>
    <w:qFormat/>
    <w:rsid w:val="000A7B6A"/>
    <w:pPr>
      <w:keepNext/>
      <w:spacing w:after="180" w:line="240" w:lineRule="auto"/>
      <w:outlineLvl w:val="0"/>
    </w:pPr>
    <w:rPr>
      <w:bCs/>
      <w:noProof/>
      <w:color w:val="21949F"/>
      <w:kern w:val="32"/>
      <w:sz w:val="32"/>
      <w:szCs w:val="32"/>
      <w:lang w:eastAsia="en-US"/>
    </w:rPr>
  </w:style>
  <w:style w:type="paragraph" w:styleId="Heading2">
    <w:name w:val="heading 2"/>
    <w:basedOn w:val="Normal"/>
    <w:next w:val="Normal"/>
    <w:link w:val="Heading2Char"/>
    <w:qFormat/>
    <w:rsid w:val="000A7B6A"/>
    <w:pPr>
      <w:keepNext/>
      <w:spacing w:before="240" w:line="240" w:lineRule="auto"/>
      <w:outlineLvl w:val="1"/>
    </w:pPr>
    <w:rPr>
      <w:bCs/>
      <w:iCs/>
      <w:color w:val="103B60"/>
      <w:sz w:val="28"/>
      <w:szCs w:val="28"/>
      <w:lang w:eastAsia="en-US"/>
    </w:rPr>
  </w:style>
  <w:style w:type="paragraph" w:styleId="Heading3">
    <w:name w:val="heading 3"/>
    <w:basedOn w:val="Normal"/>
    <w:next w:val="Normal"/>
    <w:link w:val="Heading3Char"/>
    <w:uiPriority w:val="9"/>
    <w:unhideWhenUsed/>
    <w:qFormat/>
    <w:rsid w:val="000A7B6A"/>
    <w:pPr>
      <w:keepNext/>
      <w:keepLines/>
      <w:spacing w:before="40" w:after="0"/>
      <w:outlineLvl w:val="2"/>
    </w:pPr>
    <w:rPr>
      <w:rFonts w:eastAsiaTheme="majorEastAsia" w:cstheme="majorBidi"/>
      <w:b/>
      <w:bCs/>
      <w:color w:val="5A6D70"/>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61A"/>
    <w:pPr>
      <w:tabs>
        <w:tab w:val="center" w:pos="4513"/>
        <w:tab w:val="right" w:pos="9026"/>
      </w:tabs>
      <w:spacing w:after="0" w:line="240" w:lineRule="auto"/>
    </w:pPr>
    <w:rPr>
      <w:rFonts w:eastAsiaTheme="minorHAnsi" w:cstheme="minorBidi"/>
      <w:color w:val="FFFFFF" w:themeColor="background1"/>
      <w:sz w:val="16"/>
      <w:szCs w:val="16"/>
      <w:lang w:eastAsia="en-US"/>
    </w:rPr>
  </w:style>
  <w:style w:type="character" w:customStyle="1" w:styleId="HeaderChar">
    <w:name w:val="Header Char"/>
    <w:basedOn w:val="DefaultParagraphFont"/>
    <w:link w:val="Header"/>
    <w:uiPriority w:val="99"/>
    <w:rsid w:val="000F461A"/>
    <w:rPr>
      <w:rFonts w:ascii="Verdana" w:hAnsi="Verdana"/>
      <w:color w:val="FFFFFF" w:themeColor="background1"/>
      <w:sz w:val="16"/>
      <w:szCs w:val="16"/>
    </w:rPr>
  </w:style>
  <w:style w:type="paragraph" w:styleId="Footer">
    <w:name w:val="footer"/>
    <w:basedOn w:val="Normal"/>
    <w:link w:val="FooterChar"/>
    <w:unhideWhenUsed/>
    <w:rsid w:val="000A7B6A"/>
    <w:pPr>
      <w:tabs>
        <w:tab w:val="center" w:pos="4513"/>
        <w:tab w:val="right" w:pos="9026"/>
      </w:tabs>
      <w:spacing w:after="0" w:line="240" w:lineRule="auto"/>
      <w:jc w:val="center"/>
    </w:pPr>
    <w:rPr>
      <w:rFonts w:eastAsiaTheme="minorHAnsi" w:cstheme="minorBidi"/>
      <w:color w:val="3E4A4B"/>
      <w:sz w:val="16"/>
      <w:szCs w:val="16"/>
      <w:lang w:eastAsia="en-US"/>
    </w:rPr>
  </w:style>
  <w:style w:type="character" w:customStyle="1" w:styleId="FooterChar">
    <w:name w:val="Footer Char"/>
    <w:basedOn w:val="DefaultParagraphFont"/>
    <w:link w:val="Footer"/>
    <w:rsid w:val="000A7B6A"/>
    <w:rPr>
      <w:rFonts w:ascii="Verdana" w:hAnsi="Verdana"/>
      <w:color w:val="3E4A4B"/>
      <w:sz w:val="16"/>
      <w:szCs w:val="16"/>
    </w:rPr>
  </w:style>
  <w:style w:type="character" w:styleId="Strong">
    <w:name w:val="Strong"/>
    <w:qFormat/>
    <w:rsid w:val="009A4CAC"/>
    <w:rPr>
      <w:b/>
      <w:bCs/>
    </w:rPr>
  </w:style>
  <w:style w:type="character" w:customStyle="1" w:styleId="Heading1Char">
    <w:name w:val="Heading 1 Char"/>
    <w:basedOn w:val="DefaultParagraphFont"/>
    <w:link w:val="Heading1"/>
    <w:rsid w:val="000A7B6A"/>
    <w:rPr>
      <w:rFonts w:ascii="Verdana" w:eastAsia="Times New Roman" w:hAnsi="Verdana" w:cs="Arial"/>
      <w:bCs/>
      <w:noProof/>
      <w:color w:val="21949F"/>
      <w:kern w:val="32"/>
      <w:sz w:val="32"/>
      <w:szCs w:val="32"/>
    </w:rPr>
  </w:style>
  <w:style w:type="character" w:customStyle="1" w:styleId="Heading2Char">
    <w:name w:val="Heading 2 Char"/>
    <w:basedOn w:val="DefaultParagraphFont"/>
    <w:link w:val="Heading2"/>
    <w:rsid w:val="000A7B6A"/>
    <w:rPr>
      <w:rFonts w:ascii="Verdana" w:eastAsia="Times New Roman" w:hAnsi="Verdana" w:cs="Arial"/>
      <w:bCs/>
      <w:iCs/>
      <w:color w:val="103B60"/>
      <w:sz w:val="28"/>
      <w:szCs w:val="28"/>
    </w:rPr>
  </w:style>
  <w:style w:type="paragraph" w:customStyle="1" w:styleId="Guidancenotes">
    <w:name w:val="Guidance notes"/>
    <w:basedOn w:val="Normal"/>
    <w:link w:val="GuidancenotesChar"/>
    <w:qFormat/>
    <w:rsid w:val="000A7B6A"/>
    <w:pPr>
      <w:pBdr>
        <w:bottom w:val="single" w:sz="4" w:space="4" w:color="55BEA0"/>
      </w:pBdr>
      <w:shd w:val="clear" w:color="auto" w:fill="E9F8F7"/>
      <w:spacing w:after="100" w:line="240" w:lineRule="auto"/>
    </w:pPr>
    <w:rPr>
      <w:color w:val="303A3A"/>
      <w:sz w:val="19"/>
      <w:szCs w:val="19"/>
      <w:lang w:eastAsia="en-US"/>
    </w:rPr>
  </w:style>
  <w:style w:type="paragraph" w:customStyle="1" w:styleId="Guidancenoteheading">
    <w:name w:val="Guidance note heading"/>
    <w:basedOn w:val="Normal"/>
    <w:link w:val="GuidancenoteheadingChar"/>
    <w:qFormat/>
    <w:rsid w:val="000A7B6A"/>
    <w:pPr>
      <w:pBdr>
        <w:top w:val="single" w:sz="4" w:space="1" w:color="55BEA0"/>
      </w:pBdr>
      <w:shd w:val="clear" w:color="auto" w:fill="E9F8F7"/>
      <w:spacing w:after="0" w:line="360" w:lineRule="auto"/>
    </w:pPr>
    <w:rPr>
      <w:b/>
      <w:bCs/>
      <w:color w:val="55BEA0"/>
      <w:shd w:val="clear" w:color="auto" w:fill="E9F8F7"/>
    </w:rPr>
  </w:style>
  <w:style w:type="character" w:customStyle="1" w:styleId="GuidancenotesChar">
    <w:name w:val="Guidance notes Char"/>
    <w:basedOn w:val="DefaultParagraphFont"/>
    <w:link w:val="Guidancenotes"/>
    <w:rsid w:val="000A7B6A"/>
    <w:rPr>
      <w:rFonts w:ascii="Verdana" w:eastAsia="Times New Roman" w:hAnsi="Verdana" w:cs="Arial"/>
      <w:color w:val="303A3A"/>
      <w:sz w:val="19"/>
      <w:szCs w:val="19"/>
      <w:shd w:val="clear" w:color="auto" w:fill="E9F8F7"/>
    </w:rPr>
  </w:style>
  <w:style w:type="character" w:customStyle="1" w:styleId="GuidancenoteheadingChar">
    <w:name w:val="Guidance note heading Char"/>
    <w:basedOn w:val="GuidancenotesChar"/>
    <w:link w:val="Guidancenoteheading"/>
    <w:rsid w:val="000A7B6A"/>
    <w:rPr>
      <w:rFonts w:ascii="Verdana" w:eastAsia="Times New Roman" w:hAnsi="Verdana" w:cs="Arial"/>
      <w:b/>
      <w:bCs/>
      <w:color w:val="55BEA0"/>
      <w:sz w:val="20"/>
      <w:szCs w:val="21"/>
      <w:shd w:val="clear" w:color="auto" w:fill="E9F8F7"/>
      <w:lang w:eastAsia="en-AU"/>
    </w:rPr>
  </w:style>
  <w:style w:type="character" w:customStyle="1" w:styleId="Heading3Char">
    <w:name w:val="Heading 3 Char"/>
    <w:basedOn w:val="DefaultParagraphFont"/>
    <w:link w:val="Heading3"/>
    <w:uiPriority w:val="9"/>
    <w:rsid w:val="000A7B6A"/>
    <w:rPr>
      <w:rFonts w:ascii="Verdana" w:eastAsiaTheme="majorEastAsia" w:hAnsi="Verdana" w:cstheme="majorBidi"/>
      <w:b/>
      <w:bCs/>
      <w:color w:val="5A6D70"/>
      <w:sz w:val="23"/>
      <w:szCs w:val="23"/>
      <w:lang w:eastAsia="en-AU"/>
    </w:rPr>
  </w:style>
  <w:style w:type="character" w:styleId="IntenseEmphasis">
    <w:name w:val="Intense Emphasis"/>
    <w:uiPriority w:val="21"/>
    <w:qFormat/>
    <w:rsid w:val="000A7B6A"/>
    <w:rPr>
      <w:i/>
    </w:rPr>
  </w:style>
  <w:style w:type="paragraph" w:styleId="ListBullet">
    <w:name w:val="List Bullet"/>
    <w:basedOn w:val="Normal"/>
    <w:rsid w:val="000A7B6A"/>
    <w:pPr>
      <w:tabs>
        <w:tab w:val="num" w:pos="360"/>
      </w:tabs>
      <w:ind w:left="360" w:hanging="360"/>
      <w:contextualSpacing/>
    </w:pPr>
  </w:style>
  <w:style w:type="character" w:styleId="Hyperlink">
    <w:name w:val="Hyperlink"/>
    <w:uiPriority w:val="99"/>
    <w:unhideWhenUsed/>
    <w:rsid w:val="000A7B6A"/>
    <w:rPr>
      <w:color w:val="21949F"/>
      <w:u w:val="single"/>
    </w:rPr>
  </w:style>
  <w:style w:type="paragraph" w:customStyle="1" w:styleId="secondarybullet">
    <w:name w:val="secondary bullet"/>
    <w:basedOn w:val="Normal"/>
    <w:qFormat/>
    <w:rsid w:val="000A7B6A"/>
    <w:pPr>
      <w:numPr>
        <w:ilvl w:val="3"/>
        <w:numId w:val="11"/>
      </w:numPr>
      <w:tabs>
        <w:tab w:val="clear" w:pos="2700"/>
        <w:tab w:val="left" w:pos="1134"/>
        <w:tab w:val="num" w:pos="2340"/>
      </w:tabs>
      <w:autoSpaceDE w:val="0"/>
      <w:autoSpaceDN w:val="0"/>
      <w:adjustRightInd w:val="0"/>
      <w:spacing w:after="160"/>
      <w:ind w:left="709" w:hanging="357"/>
      <w:contextualSpacing/>
    </w:pPr>
    <w:rPr>
      <w:color w:val="000000"/>
    </w:rPr>
  </w:style>
  <w:style w:type="paragraph" w:styleId="BalloonText">
    <w:name w:val="Balloon Text"/>
    <w:basedOn w:val="Normal"/>
    <w:link w:val="BalloonTextChar"/>
    <w:uiPriority w:val="99"/>
    <w:semiHidden/>
    <w:unhideWhenUsed/>
    <w:rsid w:val="00403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C02"/>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403C02"/>
    <w:rPr>
      <w:sz w:val="16"/>
      <w:szCs w:val="16"/>
    </w:rPr>
  </w:style>
  <w:style w:type="paragraph" w:styleId="CommentText">
    <w:name w:val="annotation text"/>
    <w:basedOn w:val="Normal"/>
    <w:link w:val="CommentTextChar"/>
    <w:uiPriority w:val="99"/>
    <w:semiHidden/>
    <w:unhideWhenUsed/>
    <w:rsid w:val="00403C02"/>
    <w:pPr>
      <w:spacing w:after="200" w:line="240" w:lineRule="auto"/>
    </w:pPr>
    <w:rPr>
      <w:rFonts w:ascii="Arial" w:hAnsi="Arial"/>
      <w:szCs w:val="20"/>
      <w:lang w:val="en-US"/>
    </w:rPr>
  </w:style>
  <w:style w:type="character" w:customStyle="1" w:styleId="CommentTextChar">
    <w:name w:val="Comment Text Char"/>
    <w:basedOn w:val="DefaultParagraphFont"/>
    <w:link w:val="CommentText"/>
    <w:uiPriority w:val="99"/>
    <w:semiHidden/>
    <w:rsid w:val="00403C02"/>
    <w:rPr>
      <w:rFonts w:ascii="Arial" w:eastAsia="Times New Roman" w:hAnsi="Arial" w:cs="Arial"/>
      <w:sz w:val="20"/>
      <w:szCs w:val="20"/>
      <w:lang w:val="en-US" w:eastAsia="en-AU"/>
    </w:rPr>
  </w:style>
  <w:style w:type="character" w:styleId="FollowedHyperlink">
    <w:name w:val="FollowedHyperlink"/>
    <w:basedOn w:val="DefaultParagraphFont"/>
    <w:uiPriority w:val="99"/>
    <w:semiHidden/>
    <w:unhideWhenUsed/>
    <w:rsid w:val="008E52B3"/>
    <w:rPr>
      <w:color w:val="954F72" w:themeColor="followedHyperlink"/>
      <w:u w:val="single"/>
    </w:rPr>
  </w:style>
  <w:style w:type="character" w:styleId="UnresolvedMention">
    <w:name w:val="Unresolved Mention"/>
    <w:basedOn w:val="DefaultParagraphFont"/>
    <w:uiPriority w:val="99"/>
    <w:semiHidden/>
    <w:unhideWhenUsed/>
    <w:rsid w:val="0046557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6557D"/>
    <w:pPr>
      <w:spacing w:after="120"/>
    </w:pPr>
    <w:rPr>
      <w:rFonts w:ascii="Verdana" w:hAnsi="Verdana"/>
      <w:b/>
      <w:bCs/>
      <w:lang w:val="en-AU"/>
    </w:rPr>
  </w:style>
  <w:style w:type="character" w:customStyle="1" w:styleId="CommentSubjectChar">
    <w:name w:val="Comment Subject Char"/>
    <w:basedOn w:val="CommentTextChar"/>
    <w:link w:val="CommentSubject"/>
    <w:uiPriority w:val="99"/>
    <w:semiHidden/>
    <w:rsid w:val="0046557D"/>
    <w:rPr>
      <w:rFonts w:ascii="Verdana" w:eastAsia="Times New Roman" w:hAnsi="Verdana" w:cs="Arial"/>
      <w:b/>
      <w:bCs/>
      <w:sz w:val="20"/>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ld.gov.au/firstnations/family-social-support/torres-strait-islander-traditional-child-rearing-practice/apply-cultural-recognition-order" TargetMode="External"/><Relationship Id="rId18" Type="http://schemas.openxmlformats.org/officeDocument/2006/relationships/hyperlink" Target="https://www.qld.gov.au/law/births-deaths-marriages-and-divorces/birth-death-and-marriage-certificates/birth-certificates/applying-for-a-birth-certificat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qld.gov.au/firstnations/legal-support-reporting-crime/legal-help" TargetMode="External"/><Relationship Id="rId17" Type="http://schemas.openxmlformats.org/officeDocument/2006/relationships/hyperlink" Target="http://www.ocmokk.qld.gov.au" TargetMode="External"/><Relationship Id="rId2" Type="http://schemas.openxmlformats.org/officeDocument/2006/relationships/customXml" Target="../customXml/item2.xml"/><Relationship Id="rId16" Type="http://schemas.openxmlformats.org/officeDocument/2006/relationships/hyperlink" Target="https://www.qld.gov.au/firstnations/legal-support-reporting-crime/legal-hel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ld.gov.au/firstnations/family-social-support/torres-strait-islander-traditional-child-rearing-practice" TargetMode="External"/><Relationship Id="rId5" Type="http://schemas.openxmlformats.org/officeDocument/2006/relationships/styles" Target="styles.xml"/><Relationship Id="rId15" Type="http://schemas.openxmlformats.org/officeDocument/2006/relationships/hyperlink" Target="https://www.ocmokk.qld.gov.au/commissioner/meriba-omasker-kaziw-kazipa-program-support-office" TargetMode="External"/><Relationship Id="rId10" Type="http://schemas.openxmlformats.org/officeDocument/2006/relationships/hyperlink" Target="https://www.qld.gov.au/firstnations/legal-support-reporting-crime/legal-help"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qld.gov.au/firstnation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F8E0F9155F140B1C8484D2D0D7B0C" ma:contentTypeVersion="11" ma:contentTypeDescription="Create a new document." ma:contentTypeScope="" ma:versionID="99436d463e6c5db9de88610d5a86102e">
  <xsd:schema xmlns:xsd="http://www.w3.org/2001/XMLSchema" xmlns:xs="http://www.w3.org/2001/XMLSchema" xmlns:p="http://schemas.microsoft.com/office/2006/metadata/properties" xmlns:ns3="39da799c-7fcd-4987-8e9a-a7de64cde90e" targetNamespace="http://schemas.microsoft.com/office/2006/metadata/properties" ma:root="true" ma:fieldsID="2d3dff0f054db6987b236afdf53d4b97" ns3:_="">
    <xsd:import namespace="39da799c-7fcd-4987-8e9a-a7de64cde9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a799c-7fcd-4987-8e9a-a7de64cde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6696D-10C6-4910-91A5-5EFCBE4A4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a799c-7fcd-4987-8e9a-a7de64cde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5E9DC-DE8E-4654-997E-972B83D423D1}">
  <ds:schemaRefs>
    <ds:schemaRef ds:uri="http://schemas.microsoft.com/sharepoint/v3/contenttype/forms"/>
  </ds:schemaRefs>
</ds:datastoreItem>
</file>

<file path=customXml/itemProps3.xml><?xml version="1.0" encoding="utf-8"?>
<ds:datastoreItem xmlns:ds="http://schemas.openxmlformats.org/officeDocument/2006/customXml" ds:itemID="{E1ABD374-AE59-4BC1-9E17-232707285A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Cultural Recognition Order</vt:lpstr>
    </vt:vector>
  </TitlesOfParts>
  <Manager/>
  <Company/>
  <LinksUpToDate>false</LinksUpToDate>
  <CharactersWithSpaces>5932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Recognition Order</dc:title>
  <dc:subject>Factsheet</dc:subject>
  <dc:creator>Queensland Government</dc:creator>
  <cp:keywords>cro; factsheet; mokk</cp:keywords>
  <dc:description>Office of the Commissioner, Cultural Recognition Order factsheet</dc:description>
  <cp:lastModifiedBy>Denise X Andrews</cp:lastModifiedBy>
  <cp:revision>2</cp:revision>
  <dcterms:created xsi:type="dcterms:W3CDTF">2021-09-10T05:49:00Z</dcterms:created>
  <dcterms:modified xsi:type="dcterms:W3CDTF">2021-09-10T05:49:00Z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0x010100414F8E0F9155F140B1C8484D2D0D7B0C</vt:lpwstr>
  </property>
</Properties>
</file>