
<file path=[Content_Types].xml><?xml version="1.0" encoding="utf-8"?>
<Types xmlns="http://schemas.openxmlformats.org/package/2006/content-types">
  <Default Extension="json" ContentType="application/vnd.baytech.electronic-signing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0B1F" w14:textId="77777777" w:rsidR="00C02837" w:rsidRDefault="00C02837" w:rsidP="008918D2">
      <w:pPr>
        <w:sectPr w:rsidR="00C02837" w:rsidSect="00B34CB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2121" w:right="1440" w:bottom="1985" w:left="1440" w:header="709" w:footer="680" w:gutter="0"/>
          <w:cols w:num="2" w:space="720"/>
          <w:docGrid w:linePitch="360"/>
        </w:sectPr>
      </w:pPr>
    </w:p>
    <w:p w14:paraId="4DA2641A" w14:textId="77777777" w:rsidR="00C02837" w:rsidRPr="00787C54" w:rsidRDefault="00B048A5" w:rsidP="008918D2">
      <w:pPr>
        <w:sectPr w:rsidR="00C02837" w:rsidRPr="00787C54" w:rsidSect="002F12E2">
          <w:type w:val="continuous"/>
          <w:pgSz w:w="11900" w:h="16840"/>
          <w:pgMar w:top="1440" w:right="1440" w:bottom="1440" w:left="1440" w:header="708" w:footer="708" w:gutter="0"/>
          <w:cols w:space="720"/>
          <w:titlePg/>
          <w:docGrid w:linePitch="360"/>
        </w:sectPr>
      </w:pPr>
      <w:r w:rsidRPr="00787C5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BE0478" wp14:editId="714232FE">
                <wp:simplePos x="0" y="0"/>
                <wp:positionH relativeFrom="margin">
                  <wp:posOffset>-457200</wp:posOffset>
                </wp:positionH>
                <wp:positionV relativeFrom="paragraph">
                  <wp:posOffset>242570</wp:posOffset>
                </wp:positionV>
                <wp:extent cx="6324600" cy="922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9B01" w14:textId="77777777" w:rsidR="00FF0E75" w:rsidRPr="00C15067" w:rsidRDefault="00B048A5" w:rsidP="00FF0E75">
                            <w:pPr>
                              <w:pStyle w:val="Heading1"/>
                              <w:rPr>
                                <w:color w:val="330033"/>
                              </w:rPr>
                            </w:pPr>
                            <w:r w:rsidRPr="00C15067">
                              <w:rPr>
                                <w:color w:val="330033"/>
                              </w:rPr>
                              <w:t>Social and Emotional Wellbeing Funding</w:t>
                            </w:r>
                          </w:p>
                          <w:p w14:paraId="631266F4" w14:textId="77777777" w:rsidR="00FF0E75" w:rsidRPr="00C15067" w:rsidRDefault="00B048A5" w:rsidP="00FF0E75">
                            <w:pPr>
                              <w:pStyle w:val="Heading2"/>
                              <w:rPr>
                                <w:b/>
                                <w:bCs/>
                                <w:color w:val="330033"/>
                              </w:rPr>
                            </w:pPr>
                            <w:r w:rsidRPr="00C15067">
                              <w:rPr>
                                <w:b/>
                                <w:bCs/>
                                <w:color w:val="330033"/>
                              </w:rPr>
                              <w:t xml:space="preserve">Expression of </w:t>
                            </w:r>
                            <w:r w:rsidR="00067F49" w:rsidRPr="00C15067">
                              <w:rPr>
                                <w:b/>
                                <w:bCs/>
                                <w:color w:val="330033"/>
                              </w:rPr>
                              <w:t>I</w:t>
                            </w:r>
                            <w:r w:rsidRPr="00C15067">
                              <w:rPr>
                                <w:b/>
                                <w:bCs/>
                                <w:color w:val="330033"/>
                              </w:rPr>
                              <w:t>nterest</w:t>
                            </w:r>
                            <w:r w:rsidR="00067F49" w:rsidRPr="00C15067">
                              <w:rPr>
                                <w:b/>
                                <w:bCs/>
                                <w:color w:val="330033"/>
                              </w:rPr>
                              <w:t xml:space="preserve"> Fact Sheet</w:t>
                            </w:r>
                            <w:r w:rsidRPr="00C15067">
                              <w:rPr>
                                <w:b/>
                                <w:bCs/>
                                <w:color w:val="330033"/>
                              </w:rPr>
                              <w:t xml:space="preserve"> </w:t>
                            </w:r>
                          </w:p>
                          <w:p w14:paraId="54048691" w14:textId="77777777" w:rsidR="00FF0E75" w:rsidRDefault="00FF0E75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0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9.1pt;width:498pt;height:7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" stroked="f">
                <v:textbox>
                  <w:txbxContent>
                    <w:p w14:paraId="71479B01" w14:textId="77777777" w:rsidR="00FF0E75" w:rsidRPr="00C15067" w:rsidRDefault="00B048A5" w:rsidP="00FF0E75">
                      <w:pPr>
                        <w:pStyle w:val="Heading1"/>
                        <w:rPr>
                          <w:color w:val="330033"/>
                        </w:rPr>
                      </w:pPr>
                      <w:r w:rsidRPr="00C15067">
                        <w:rPr>
                          <w:color w:val="330033"/>
                        </w:rPr>
                        <w:t>Social and Emotional Wellbeing Funding</w:t>
                      </w:r>
                    </w:p>
                    <w:p w14:paraId="631266F4" w14:textId="77777777" w:rsidR="00FF0E75" w:rsidRPr="00C15067" w:rsidRDefault="00B048A5" w:rsidP="00FF0E75">
                      <w:pPr>
                        <w:pStyle w:val="Heading2"/>
                        <w:rPr>
                          <w:b/>
                          <w:bCs/>
                          <w:color w:val="330033"/>
                        </w:rPr>
                      </w:pPr>
                      <w:r w:rsidRPr="00C15067">
                        <w:rPr>
                          <w:b/>
                          <w:bCs/>
                          <w:color w:val="330033"/>
                        </w:rPr>
                        <w:t xml:space="preserve">Expression of </w:t>
                      </w:r>
                      <w:r w:rsidR="00067F49" w:rsidRPr="00C15067">
                        <w:rPr>
                          <w:b/>
                          <w:bCs/>
                          <w:color w:val="330033"/>
                        </w:rPr>
                        <w:t>I</w:t>
                      </w:r>
                      <w:r w:rsidRPr="00C15067">
                        <w:rPr>
                          <w:b/>
                          <w:bCs/>
                          <w:color w:val="330033"/>
                        </w:rPr>
                        <w:t>nterest</w:t>
                      </w:r>
                      <w:r w:rsidR="00067F49" w:rsidRPr="00C15067">
                        <w:rPr>
                          <w:b/>
                          <w:bCs/>
                          <w:color w:val="330033"/>
                        </w:rPr>
                        <w:t xml:space="preserve"> Fact Sheet</w:t>
                      </w:r>
                      <w:r w:rsidRPr="00C15067">
                        <w:rPr>
                          <w:b/>
                          <w:bCs/>
                          <w:color w:val="330033"/>
                        </w:rPr>
                        <w:t xml:space="preserve"> </w:t>
                      </w:r>
                    </w:p>
                    <w:p w14:paraId="54048691" w14:textId="77777777" w:rsidR="00FF0E75" w:rsidRDefault="00FF0E75"/>
                  </w:txbxContent>
                </v:textbox>
                <w10:wrap type="square" anchorx="margin"/>
              </v:shape>
            </w:pict>
          </mc:Fallback>
        </mc:AlternateContent>
      </w:r>
    </w:p>
    <w:p w14:paraId="69E709FE" w14:textId="77777777" w:rsidR="00FF0E75" w:rsidRPr="00787C54" w:rsidRDefault="00B048A5" w:rsidP="00FF0E75">
      <w:pPr>
        <w:pStyle w:val="Heading3"/>
        <w:spacing w:before="0"/>
      </w:pPr>
      <w:r w:rsidRPr="00787C54">
        <w:t>What is Local Thriving Communities?</w:t>
      </w:r>
    </w:p>
    <w:p w14:paraId="5F77393A" w14:textId="77777777" w:rsidR="00FF0E75" w:rsidRPr="00787C54" w:rsidRDefault="00B048A5" w:rsidP="00FF0E75">
      <w:pPr>
        <w:pStyle w:val="Body"/>
      </w:pPr>
      <w:r w:rsidRPr="00787C54">
        <w:t>Local Thriving Communities (LTC) is a long</w:t>
      </w:r>
      <w:r w:rsidR="00067F49" w:rsidRPr="00787C54">
        <w:t>-</w:t>
      </w:r>
      <w:r w:rsidRPr="00787C54">
        <w:t xml:space="preserve">term, holistic reform that is a different way of government and Aboriginal and Torres Strait Islander communities working together.  </w:t>
      </w:r>
    </w:p>
    <w:p w14:paraId="7BDB4BBF" w14:textId="77777777" w:rsidR="00FF0E75" w:rsidRPr="00787C54" w:rsidRDefault="00B048A5" w:rsidP="00FF0E75">
      <w:pPr>
        <w:pStyle w:val="Body"/>
      </w:pPr>
      <w:r w:rsidRPr="00787C54">
        <w:t>It requires a high expectations relationship between government and community so that service design and delivery better m</w:t>
      </w:r>
      <w:r w:rsidRPr="00787C54">
        <w:t xml:space="preserve">eet the needs of each community. </w:t>
      </w:r>
    </w:p>
    <w:p w14:paraId="26F5CAE2" w14:textId="77777777" w:rsidR="00FF0E75" w:rsidRPr="00787C54" w:rsidRDefault="00B048A5" w:rsidP="00FF0E75">
      <w:pPr>
        <w:pStyle w:val="Body"/>
      </w:pPr>
      <w:r w:rsidRPr="00787C54">
        <w:t xml:space="preserve">The Queensland Government has committed to better support for Aboriginal and Torres Strait Islander communities to: </w:t>
      </w:r>
    </w:p>
    <w:p w14:paraId="3E751A8A" w14:textId="77777777" w:rsidR="00FF0E75" w:rsidRPr="00787C54" w:rsidRDefault="00B048A5" w:rsidP="00FF0E75">
      <w:pPr>
        <w:pStyle w:val="Bullets"/>
      </w:pPr>
      <w:r w:rsidRPr="00787C54">
        <w:t xml:space="preserve">make decisions about their own future </w:t>
      </w:r>
    </w:p>
    <w:p w14:paraId="2D880331" w14:textId="77777777" w:rsidR="00FF0E75" w:rsidRPr="00787C54" w:rsidRDefault="00B048A5" w:rsidP="00FF0E75">
      <w:pPr>
        <w:pStyle w:val="Bullets"/>
      </w:pPr>
      <w:r w:rsidRPr="00787C54">
        <w:t xml:space="preserve">build on their strengths as a community </w:t>
      </w:r>
    </w:p>
    <w:p w14:paraId="55EF2739" w14:textId="77777777" w:rsidR="00FF0E75" w:rsidRPr="00787C54" w:rsidRDefault="00B048A5" w:rsidP="00FF0E75">
      <w:pPr>
        <w:pStyle w:val="Bullets"/>
      </w:pPr>
      <w:r w:rsidRPr="00787C54">
        <w:t>invest in the things that</w:t>
      </w:r>
      <w:r w:rsidRPr="00787C54">
        <w:t xml:space="preserve"> will make communities stronger and make a difference to people’s lives</w:t>
      </w:r>
    </w:p>
    <w:p w14:paraId="52C086EE" w14:textId="77777777" w:rsidR="00FF0E75" w:rsidRPr="00787C54" w:rsidRDefault="00B048A5" w:rsidP="00FF0E75">
      <w:pPr>
        <w:pStyle w:val="Heading3"/>
      </w:pPr>
      <w:r w:rsidRPr="00787C54">
        <w:t>What is the Social and Emotional Wellbeing (SEWB) program?</w:t>
      </w:r>
    </w:p>
    <w:p w14:paraId="3F052E67" w14:textId="77777777" w:rsidR="00FF0E75" w:rsidRPr="00787C54" w:rsidRDefault="00B048A5" w:rsidP="00FF0E75">
      <w:pPr>
        <w:pStyle w:val="Body"/>
      </w:pPr>
      <w:r w:rsidRPr="00787C54">
        <w:t>LTC’s SEWB Program supports initiatives that are co-designed with local leadership to improve mental health and social emotio</w:t>
      </w:r>
      <w:r w:rsidRPr="00787C54">
        <w:t xml:space="preserve">nal wellbeing outcomes, respond to substance misuse, and reduce rates of suicide in Aboriginal and Torres Strait Islander communities. </w:t>
      </w:r>
    </w:p>
    <w:p w14:paraId="44D20C5F" w14:textId="77777777" w:rsidR="00FF0E75" w:rsidRPr="00787C54" w:rsidRDefault="00B048A5" w:rsidP="00FF0E75">
      <w:pPr>
        <w:pStyle w:val="Body"/>
      </w:pPr>
      <w:r w:rsidRPr="00787C54">
        <w:t>In line with the principles of LTC, proposals must embed Aboriginal and Torres Strait Islander leadership and concepts o</w:t>
      </w:r>
      <w:r w:rsidRPr="00787C54">
        <w:t>f social and emotional wellbeing in service design, delivery and evaluation.</w:t>
      </w:r>
    </w:p>
    <w:p w14:paraId="49316204" w14:textId="77777777" w:rsidR="00FF0E75" w:rsidRPr="00787C54" w:rsidRDefault="00B048A5" w:rsidP="00FF0E75">
      <w:pPr>
        <w:pStyle w:val="Body"/>
      </w:pPr>
      <w:r w:rsidRPr="00787C54">
        <w:t>The program is focused on early childhood wellbeing</w:t>
      </w:r>
      <w:r w:rsidR="00067F49" w:rsidRPr="00787C54">
        <w:t xml:space="preserve">, </w:t>
      </w:r>
      <w:r w:rsidRPr="00787C54">
        <w:t>youth mental health and suicide prevention.</w:t>
      </w:r>
    </w:p>
    <w:p w14:paraId="068A1490" w14:textId="77777777" w:rsidR="00FF0E75" w:rsidRPr="00787C54" w:rsidRDefault="00B048A5" w:rsidP="00FF0E75">
      <w:pPr>
        <w:pStyle w:val="Heading3"/>
      </w:pPr>
      <w:r w:rsidRPr="00787C54">
        <w:t>What funding is available?</w:t>
      </w:r>
    </w:p>
    <w:p w14:paraId="7A439B5F" w14:textId="77777777" w:rsidR="00FF0E75" w:rsidRPr="00787C54" w:rsidRDefault="00B048A5" w:rsidP="00FF0E75">
      <w:pPr>
        <w:pStyle w:val="Body"/>
      </w:pPr>
      <w:r w:rsidRPr="00787C54">
        <w:t xml:space="preserve">The </w:t>
      </w:r>
      <w:r w:rsidR="00067F49" w:rsidRPr="00787C54">
        <w:t xml:space="preserve">Queensland Government </w:t>
      </w:r>
      <w:r w:rsidRPr="00787C54">
        <w:t>will provide at least five ap</w:t>
      </w:r>
      <w:r w:rsidRPr="00787C54">
        <w:t>plicants with up to $235,000 (including GST) over 2021/22 and 2022/23 to implement a relevant initiative, with a total funding allocation of $1.175 million.</w:t>
      </w:r>
    </w:p>
    <w:p w14:paraId="0EAC7B29" w14:textId="77777777" w:rsidR="00FF0E75" w:rsidRPr="00787C54" w:rsidRDefault="00B048A5" w:rsidP="00FF0E75">
      <w:pPr>
        <w:pStyle w:val="Heading3"/>
      </w:pPr>
      <w:r w:rsidRPr="00787C54">
        <w:t>What w</w:t>
      </w:r>
      <w:r w:rsidR="00D67BED" w:rsidRPr="00787C54">
        <w:t>ill</w:t>
      </w:r>
      <w:r w:rsidRPr="00787C54">
        <w:t xml:space="preserve"> be considered?</w:t>
      </w:r>
    </w:p>
    <w:p w14:paraId="09FD79E3" w14:textId="77777777" w:rsidR="00FF0E75" w:rsidRPr="00787C54" w:rsidRDefault="00B048A5" w:rsidP="00FF0E75">
      <w:pPr>
        <w:pStyle w:val="Body"/>
      </w:pPr>
      <w:r w:rsidRPr="00787C54">
        <w:t>A proposal that aligns with the LTC SEWB funding guidelines including obje</w:t>
      </w:r>
      <w:r w:rsidRPr="00787C54">
        <w:t>ctives to</w:t>
      </w:r>
      <w:r w:rsidR="00D67BED" w:rsidRPr="00787C54">
        <w:t>:</w:t>
      </w:r>
    </w:p>
    <w:p w14:paraId="5C39B076" w14:textId="77777777" w:rsidR="00FF0E75" w:rsidRPr="00787C54" w:rsidRDefault="00B048A5" w:rsidP="00FF0E75">
      <w:pPr>
        <w:pStyle w:val="Bullets"/>
      </w:pPr>
      <w:bookmarkStart w:id="0" w:name="_Hlk97119528"/>
      <w:r w:rsidRPr="00787C54">
        <w:t>work in partnership with local leadership in First Nations communities</w:t>
      </w:r>
    </w:p>
    <w:bookmarkEnd w:id="0"/>
    <w:p w14:paraId="2C338525" w14:textId="77777777" w:rsidR="00FF0E75" w:rsidRPr="00787C54" w:rsidRDefault="00B048A5" w:rsidP="00FF0E75">
      <w:pPr>
        <w:pStyle w:val="Bullets"/>
      </w:pPr>
      <w:r w:rsidRPr="00787C54">
        <w:t>strengthen social and emotional wellbeing outcomes for Aboriginal and Torres Strait Islander communities</w:t>
      </w:r>
    </w:p>
    <w:p w14:paraId="4F87B3F5" w14:textId="77777777" w:rsidR="00FF0E75" w:rsidRPr="00787C54" w:rsidRDefault="00B048A5" w:rsidP="00FF0E75">
      <w:pPr>
        <w:pStyle w:val="Bullets"/>
      </w:pPr>
      <w:r w:rsidRPr="00787C54">
        <w:t>address evidence-based community priorities</w:t>
      </w:r>
    </w:p>
    <w:p w14:paraId="240F9DD7" w14:textId="77777777" w:rsidR="00FF0E75" w:rsidRPr="00787C54" w:rsidRDefault="00B048A5" w:rsidP="00FF0E75">
      <w:pPr>
        <w:pStyle w:val="Bullets"/>
      </w:pPr>
      <w:r w:rsidRPr="00787C54">
        <w:t>demonstrate robust planni</w:t>
      </w:r>
      <w:r w:rsidRPr="00787C54">
        <w:t xml:space="preserve">ng, design and governance mechanisms. </w:t>
      </w:r>
    </w:p>
    <w:p w14:paraId="062700CC" w14:textId="77777777" w:rsidR="00FF0E75" w:rsidRPr="00787C54" w:rsidRDefault="00B048A5" w:rsidP="00FF0E75">
      <w:pPr>
        <w:pStyle w:val="Heading3"/>
      </w:pPr>
      <w:r w:rsidRPr="00787C54">
        <w:br w:type="column"/>
      </w:r>
      <w:r w:rsidRPr="00787C54">
        <w:lastRenderedPageBreak/>
        <w:t>What w</w:t>
      </w:r>
      <w:r w:rsidR="004D3CEF" w:rsidRPr="00787C54">
        <w:t>ill</w:t>
      </w:r>
      <w:r w:rsidRPr="00787C54">
        <w:t xml:space="preserve"> not be considered?</w:t>
      </w:r>
    </w:p>
    <w:p w14:paraId="215654B9" w14:textId="77777777" w:rsidR="00FF0E75" w:rsidRPr="00787C54" w:rsidRDefault="00B048A5" w:rsidP="00FF0E75">
      <w:pPr>
        <w:pStyle w:val="Body"/>
      </w:pPr>
      <w:r w:rsidRPr="00787C54">
        <w:t>A proposal that:</w:t>
      </w:r>
    </w:p>
    <w:p w14:paraId="07FD030B" w14:textId="77777777" w:rsidR="00FF0E75" w:rsidRPr="00787C54" w:rsidRDefault="00B048A5" w:rsidP="00FF0E75">
      <w:pPr>
        <w:pStyle w:val="Bullets"/>
      </w:pPr>
      <w:r w:rsidRPr="00787C54">
        <w:t>does not have strong community support</w:t>
      </w:r>
    </w:p>
    <w:p w14:paraId="106A7B90" w14:textId="77777777" w:rsidR="00FF0E75" w:rsidRPr="00787C54" w:rsidRDefault="00B048A5" w:rsidP="00FF0E75">
      <w:pPr>
        <w:pStyle w:val="Bullets"/>
      </w:pPr>
      <w:r w:rsidRPr="00787C54">
        <w:t>is not financially or operationally feasible to deliver or continue</w:t>
      </w:r>
    </w:p>
    <w:p w14:paraId="6013107D" w14:textId="77777777" w:rsidR="00FF0E75" w:rsidRPr="00787C54" w:rsidRDefault="00B048A5" w:rsidP="00FF0E75">
      <w:pPr>
        <w:pStyle w:val="Bullets"/>
      </w:pPr>
      <w:r w:rsidRPr="00787C54">
        <w:t>duplicates a service or action that is already funded</w:t>
      </w:r>
    </w:p>
    <w:p w14:paraId="566C68B2" w14:textId="77777777" w:rsidR="00FF0E75" w:rsidRPr="00787C54" w:rsidRDefault="00B048A5" w:rsidP="00FF0E75">
      <w:pPr>
        <w:pStyle w:val="Heading3"/>
      </w:pPr>
      <w:r w:rsidRPr="00787C54">
        <w:t xml:space="preserve">What </w:t>
      </w:r>
      <w:r w:rsidR="00D67BED" w:rsidRPr="00787C54">
        <w:t>are</w:t>
      </w:r>
      <w:r w:rsidRPr="00787C54">
        <w:t xml:space="preserve"> the eligibility criteria?</w:t>
      </w:r>
    </w:p>
    <w:p w14:paraId="17F953FA" w14:textId="77777777" w:rsidR="00FF0E75" w:rsidRPr="00787C54" w:rsidRDefault="00B048A5" w:rsidP="00FF0E75">
      <w:pPr>
        <w:pStyle w:val="Body"/>
      </w:pPr>
      <w:r w:rsidRPr="00787C54">
        <w:t>To be eligible for LTC SEWB program funding, an applicant must comply with the following requirements</w:t>
      </w:r>
      <w:r w:rsidR="00E131F7" w:rsidRPr="00787C54">
        <w:t>:</w:t>
      </w:r>
    </w:p>
    <w:p w14:paraId="53175318" w14:textId="77777777" w:rsidR="000628B8" w:rsidRPr="00787C54" w:rsidRDefault="00B048A5" w:rsidP="000628B8">
      <w:pPr>
        <w:pStyle w:val="Bullets"/>
      </w:pPr>
      <w:r w:rsidRPr="00787C54">
        <w:t>Not duplicate existing funding for the same service or period</w:t>
      </w:r>
    </w:p>
    <w:p w14:paraId="40DB9F2D" w14:textId="77777777" w:rsidR="00FF0E75" w:rsidRPr="00787C54" w:rsidRDefault="00B048A5" w:rsidP="000628B8">
      <w:pPr>
        <w:pStyle w:val="Bullets"/>
      </w:pPr>
      <w:r w:rsidRPr="00787C54">
        <w:t>Be a registered business and have an Australian Business</w:t>
      </w:r>
      <w:r w:rsidRPr="00787C54">
        <w:t xml:space="preserve"> Number </w:t>
      </w:r>
    </w:p>
    <w:p w14:paraId="44766AEC" w14:textId="77777777" w:rsidR="00FF0E75" w:rsidRPr="00787C54" w:rsidRDefault="00B048A5" w:rsidP="000628B8">
      <w:pPr>
        <w:pStyle w:val="Bullets"/>
      </w:pPr>
      <w:r w:rsidRPr="00787C54">
        <w:t>Hold public liability insurance to the value of not less than $10 million, or provide evidence of plans to obtain insurance to the value of not less than $10 million to cover the proposed proposal</w:t>
      </w:r>
    </w:p>
    <w:p w14:paraId="0DF0B6F4" w14:textId="77777777" w:rsidR="00FF0E75" w:rsidRPr="00787C54" w:rsidRDefault="00B048A5" w:rsidP="000628B8">
      <w:pPr>
        <w:pStyle w:val="Bullets"/>
      </w:pPr>
      <w:r w:rsidRPr="00787C54">
        <w:t>Be capable of delivering services in Queensland wi</w:t>
      </w:r>
      <w:r w:rsidRPr="00787C54">
        <w:t xml:space="preserve">thin stated timeframes </w:t>
      </w:r>
    </w:p>
    <w:p w14:paraId="66A77299" w14:textId="77777777" w:rsidR="00FF0E75" w:rsidRPr="00787C54" w:rsidRDefault="00B048A5" w:rsidP="000628B8">
      <w:pPr>
        <w:pStyle w:val="Bullets"/>
      </w:pPr>
      <w:r w:rsidRPr="00787C54">
        <w:t>Be an eligible entity type</w:t>
      </w:r>
    </w:p>
    <w:p w14:paraId="40E44E1E" w14:textId="77777777" w:rsidR="00FF0E75" w:rsidRPr="00787C54" w:rsidRDefault="00B048A5" w:rsidP="00D67BED">
      <w:pPr>
        <w:pStyle w:val="Heading3"/>
      </w:pPr>
      <w:r w:rsidRPr="00787C54">
        <w:t>Eligible communities and organisations</w:t>
      </w:r>
    </w:p>
    <w:p w14:paraId="1195BC61" w14:textId="77777777" w:rsidR="00FF0E75" w:rsidRPr="00787C54" w:rsidRDefault="00B048A5" w:rsidP="00FF0E75">
      <w:pPr>
        <w:pStyle w:val="Body"/>
      </w:pPr>
      <w:r w:rsidRPr="00787C54">
        <w:t>All Aboriginal and Torres Strait Islander communities across Queensland are eligible for LTC’s SEWB program funding. Local community-controlled</w:t>
      </w:r>
      <w:r w:rsidR="004D3CEF" w:rsidRPr="00787C54">
        <w:t xml:space="preserve"> or </w:t>
      </w:r>
      <w:r w:rsidRPr="00787C54">
        <w:t xml:space="preserve">based </w:t>
      </w:r>
      <w:r w:rsidRPr="00787C54">
        <w:t>organisations are strongly encouraged to apply including</w:t>
      </w:r>
      <w:r w:rsidR="00D67BED" w:rsidRPr="00787C54">
        <w:t>:</w:t>
      </w:r>
    </w:p>
    <w:p w14:paraId="386882CC" w14:textId="77777777" w:rsidR="00FF0E75" w:rsidRPr="00787C54" w:rsidRDefault="00B048A5" w:rsidP="00D67BED">
      <w:pPr>
        <w:pStyle w:val="Bullets"/>
      </w:pPr>
      <w:r w:rsidRPr="00787C54">
        <w:t>Local Councils</w:t>
      </w:r>
    </w:p>
    <w:p w14:paraId="1C6E905F" w14:textId="77777777" w:rsidR="00FF0E75" w:rsidRPr="00787C54" w:rsidRDefault="00B048A5" w:rsidP="00D67BED">
      <w:pPr>
        <w:pStyle w:val="Bullets"/>
      </w:pPr>
      <w:r w:rsidRPr="00787C54">
        <w:t xml:space="preserve">Aboriginal and Torres Strait Islander Community Controlled Health Organisations </w:t>
      </w:r>
    </w:p>
    <w:p w14:paraId="58A55232" w14:textId="77777777" w:rsidR="00FF0E75" w:rsidRPr="00787C54" w:rsidRDefault="00B048A5" w:rsidP="00D67BED">
      <w:pPr>
        <w:pStyle w:val="Bullets"/>
      </w:pPr>
      <w:r w:rsidRPr="00787C54">
        <w:t xml:space="preserve">Aboriginal and Torres Strait Islander Corporations </w:t>
      </w:r>
    </w:p>
    <w:p w14:paraId="594F1F28" w14:textId="77777777" w:rsidR="00FF0E75" w:rsidRPr="00787C54" w:rsidRDefault="00B048A5" w:rsidP="00D67BED">
      <w:pPr>
        <w:pStyle w:val="Bullets"/>
      </w:pPr>
      <w:r w:rsidRPr="00787C54">
        <w:t>First Nations businesses and academics</w:t>
      </w:r>
    </w:p>
    <w:p w14:paraId="4B6B16F3" w14:textId="77777777" w:rsidR="00FF0E75" w:rsidRPr="00787C54" w:rsidRDefault="00B048A5" w:rsidP="00D67BED">
      <w:pPr>
        <w:pStyle w:val="Heading3"/>
      </w:pPr>
      <w:r w:rsidRPr="00787C54">
        <w:t>How will pr</w:t>
      </w:r>
      <w:r w:rsidRPr="00787C54">
        <w:t>oposals be assessed?</w:t>
      </w:r>
    </w:p>
    <w:p w14:paraId="665C44D0" w14:textId="77777777" w:rsidR="00FF0E75" w:rsidRPr="00787C54" w:rsidRDefault="00B048A5" w:rsidP="00FF0E75">
      <w:pPr>
        <w:pStyle w:val="Body"/>
      </w:pPr>
      <w:r w:rsidRPr="00787C54">
        <w:t xml:space="preserve">An Expert Panel comprising departmental and interagency representatives, community leadership, and </w:t>
      </w:r>
      <w:r w:rsidR="004D3CEF" w:rsidRPr="00787C54">
        <w:t xml:space="preserve">people with </w:t>
      </w:r>
      <w:r w:rsidRPr="00787C54">
        <w:t>lived experience will review proposals against the LTC SEWB funding guidelines</w:t>
      </w:r>
      <w:r w:rsidR="002B63C2">
        <w:t>.</w:t>
      </w:r>
    </w:p>
    <w:p w14:paraId="7CC8C5E9" w14:textId="77777777" w:rsidR="00FF0E75" w:rsidRPr="00787C54" w:rsidRDefault="00B048A5" w:rsidP="00FF0E75">
      <w:pPr>
        <w:pStyle w:val="Body"/>
      </w:pPr>
      <w:r w:rsidRPr="00787C54">
        <w:t>Priority will be given to communities with s</w:t>
      </w:r>
      <w:r w:rsidRPr="00787C54">
        <w:t>ignificant SEWB needs; those with interim Local Decision Making Bodies as part of LTC; and those committed to the LTC principles of embracing local leadership in the design and delivery of the initiative. Priority will also be given to communities that hav</w:t>
      </w:r>
      <w:r w:rsidRPr="00787C54">
        <w:t>e not yet received funding for social and emotional wellbeing and suicide prevention initiatives under this program.</w:t>
      </w:r>
    </w:p>
    <w:p w14:paraId="3D5D807E" w14:textId="77777777" w:rsidR="00FF0E75" w:rsidRPr="00787C54" w:rsidRDefault="00B048A5" w:rsidP="00D67BED">
      <w:pPr>
        <w:pStyle w:val="Heading3"/>
      </w:pPr>
      <w:r w:rsidRPr="00787C54">
        <w:t>How can you get involved?</w:t>
      </w:r>
    </w:p>
    <w:p w14:paraId="47173D8F" w14:textId="77777777" w:rsidR="00FF0E75" w:rsidRPr="00787C54" w:rsidRDefault="00B048A5" w:rsidP="00FF0E75">
      <w:pPr>
        <w:pStyle w:val="Body"/>
      </w:pPr>
      <w:r w:rsidRPr="00787C54">
        <w:t>Expressions of Interest (EOIs) are now open and should include complete information about the proposal based on t</w:t>
      </w:r>
      <w:r w:rsidRPr="00787C54">
        <w:t>he proposal template</w:t>
      </w:r>
      <w:r w:rsidR="002B63C2">
        <w:t xml:space="preserve">. </w:t>
      </w:r>
      <w:r w:rsidRPr="00787C54">
        <w:t xml:space="preserve">Incomplete information will impact timely assessment. </w:t>
      </w:r>
    </w:p>
    <w:p w14:paraId="61A18458" w14:textId="77777777" w:rsidR="00FF0E75" w:rsidRPr="00787C54" w:rsidRDefault="00B048A5" w:rsidP="00FF0E75">
      <w:pPr>
        <w:pStyle w:val="Body"/>
      </w:pPr>
      <w:r w:rsidRPr="00787C54">
        <w:t xml:space="preserve">All EOIs must be submitted by COB </w:t>
      </w:r>
      <w:r w:rsidR="0010304C">
        <w:t>20</w:t>
      </w:r>
      <w:r w:rsidRPr="00787C54">
        <w:t xml:space="preserve"> April 2022</w:t>
      </w:r>
      <w:r w:rsidR="00E131F7" w:rsidRPr="00787C54">
        <w:t xml:space="preserve">. </w:t>
      </w:r>
      <w:r w:rsidR="002B63C2">
        <w:t>For all key resources and t</w:t>
      </w:r>
      <w:r w:rsidR="00E131F7" w:rsidRPr="00787C54">
        <w:t xml:space="preserve">o apply, go to </w:t>
      </w:r>
      <w:hyperlink r:id="rId16" w:history="1">
        <w:r w:rsidR="0010304C" w:rsidRPr="00080C28">
          <w:rPr>
            <w:rStyle w:val="Hyperlink"/>
          </w:rPr>
          <w:t>https://www.qld.gov.au/firstnations/grants-funding/local-thriving-communities-grants</w:t>
        </w:r>
      </w:hyperlink>
      <w:r w:rsidR="0010304C">
        <w:t xml:space="preserve"> </w:t>
      </w:r>
    </w:p>
    <w:p w14:paraId="0C5F054E" w14:textId="77777777" w:rsidR="00FF0E75" w:rsidRPr="00787C54" w:rsidRDefault="00B048A5" w:rsidP="00D67BED">
      <w:pPr>
        <w:pStyle w:val="Heading3"/>
      </w:pPr>
      <w:r w:rsidRPr="00787C54">
        <w:t>Contact Us</w:t>
      </w:r>
    </w:p>
    <w:p w14:paraId="345B32F1" w14:textId="77777777" w:rsidR="002C0F8B" w:rsidRPr="001B27E6" w:rsidRDefault="00B048A5" w:rsidP="001B27E6">
      <w:pPr>
        <w:pStyle w:val="Body"/>
      </w:pPr>
      <w:r w:rsidRPr="00787C54">
        <w:t xml:space="preserve">For further information please contact </w:t>
      </w:r>
      <w:r w:rsidR="0004498F">
        <w:br w:type="textWrapping" w:clear="all"/>
      </w:r>
      <w:r w:rsidRPr="00787C54">
        <w:t>Ms Nolene D’Souza, A</w:t>
      </w:r>
      <w:r w:rsidR="0004498F">
        <w:t xml:space="preserve">cting </w:t>
      </w:r>
      <w:r w:rsidRPr="00787C54">
        <w:t xml:space="preserve">Director, LTC on </w:t>
      </w:r>
      <w:r w:rsidR="00D67BED" w:rsidRPr="00787C54">
        <w:t xml:space="preserve">(07) </w:t>
      </w:r>
      <w:r w:rsidRPr="00787C54">
        <w:t xml:space="preserve">3003 6301 or email </w:t>
      </w:r>
      <w:hyperlink r:id="rId17" w:history="1">
        <w:r w:rsidR="0004498F" w:rsidRPr="001F3B63">
          <w:rPr>
            <w:rStyle w:val="Hyperlink"/>
          </w:rPr>
          <w:t>ltc@dsdsatsip.qld.gov.au</w:t>
        </w:r>
      </w:hyperlink>
      <w:r w:rsidR="00D67BED" w:rsidRPr="00787C54">
        <w:t>.</w:t>
      </w:r>
    </w:p>
    <w:sectPr w:rsidR="002C0F8B" w:rsidRPr="001B27E6" w:rsidSect="00FF0E75">
      <w:type w:val="continuous"/>
      <w:pgSz w:w="11900" w:h="16840"/>
      <w:pgMar w:top="2552" w:right="964" w:bottom="1440" w:left="873" w:header="708" w:footer="21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DF69" w14:textId="77777777" w:rsidR="00000000" w:rsidRDefault="00B048A5">
      <w:r>
        <w:separator/>
      </w:r>
    </w:p>
  </w:endnote>
  <w:endnote w:type="continuationSeparator" w:id="0">
    <w:p w14:paraId="53C3D36D" w14:textId="77777777" w:rsidR="00000000" w:rsidRDefault="00B0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Light">
    <w:altName w:val="Yu Gothic"/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08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21ACC" w14:textId="77777777" w:rsidR="00D95E61" w:rsidRDefault="00B048A5" w:rsidP="006A27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6FAB171" w14:textId="77777777" w:rsidR="00D95E61" w:rsidRDefault="00D95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849D" w14:textId="77777777" w:rsidR="00D95E61" w:rsidRPr="00D95E61" w:rsidRDefault="00B048A5" w:rsidP="008918D2">
    <w:pPr>
      <w:pStyle w:val="Footertext"/>
      <w:jc w:val="left"/>
      <w:rPr>
        <w:rFonts w:asciiTheme="minorHAnsi" w:hAnsiTheme="minorHAnsi" w:cstheme="minorBidi"/>
        <w:sz w:val="24"/>
        <w:szCs w:val="24"/>
        <w:lang w:val="en-AU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19204" wp14:editId="4623026E">
          <wp:simplePos x="0" y="0"/>
          <wp:positionH relativeFrom="page">
            <wp:align>right</wp:align>
          </wp:positionH>
          <wp:positionV relativeFrom="paragraph">
            <wp:posOffset>-671830</wp:posOffset>
          </wp:positionV>
          <wp:extent cx="7560000" cy="1270589"/>
          <wp:effectExtent l="0" t="0" r="3175" b="6350"/>
          <wp:wrapNone/>
          <wp:docPr id="37" name="Picture 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70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493A" w14:textId="77777777" w:rsidR="008918D2" w:rsidRDefault="00B048A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4EEB99" wp14:editId="36D283DF">
          <wp:simplePos x="0" y="0"/>
          <wp:positionH relativeFrom="margin">
            <wp:align>center</wp:align>
          </wp:positionH>
          <wp:positionV relativeFrom="paragraph">
            <wp:posOffset>-647700</wp:posOffset>
          </wp:positionV>
          <wp:extent cx="7560000" cy="1270589"/>
          <wp:effectExtent l="0" t="0" r="3175" b="635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70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EE99" w14:textId="77777777" w:rsidR="00000000" w:rsidRDefault="00B048A5">
      <w:r>
        <w:separator/>
      </w:r>
    </w:p>
  </w:footnote>
  <w:footnote w:type="continuationSeparator" w:id="0">
    <w:p w14:paraId="73FAF0C6" w14:textId="77777777" w:rsidR="00000000" w:rsidRDefault="00B0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0ECB" w14:textId="77777777" w:rsidR="00C02837" w:rsidRPr="00C02837" w:rsidRDefault="00B048A5" w:rsidP="00C02837">
    <w:r>
      <w:rPr>
        <w:noProof/>
      </w:rPr>
      <w:drawing>
        <wp:anchor distT="0" distB="0" distL="114300" distR="114300" simplePos="0" relativeHeight="251659264" behindDoc="1" locked="0" layoutInCell="1" allowOverlap="1" wp14:anchorId="011589F0" wp14:editId="534CD8B9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428" cy="1638935"/>
          <wp:effectExtent l="0" t="0" r="381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428" cy="163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8DE7" w14:textId="77777777" w:rsidR="008918D2" w:rsidRDefault="00B048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9E8988" wp14:editId="48210BE7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559428" cy="1638935"/>
          <wp:effectExtent l="0" t="0" r="3810" b="0"/>
          <wp:wrapNone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428" cy="163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8C6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962A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8AA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42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964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7876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22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FE6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D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13F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4B412F"/>
    <w:multiLevelType w:val="hybridMultilevel"/>
    <w:tmpl w:val="83667BEE"/>
    <w:lvl w:ilvl="0" w:tplc="99C0041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6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28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E0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64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8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8A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3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A9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A3559"/>
    <w:multiLevelType w:val="multilevel"/>
    <w:tmpl w:val="F92EE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9E78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37"/>
    <w:rsid w:val="00013B1F"/>
    <w:rsid w:val="00016B6C"/>
    <w:rsid w:val="0004498F"/>
    <w:rsid w:val="000628B8"/>
    <w:rsid w:val="00067F49"/>
    <w:rsid w:val="00080C28"/>
    <w:rsid w:val="0010304C"/>
    <w:rsid w:val="00130711"/>
    <w:rsid w:val="001B27E6"/>
    <w:rsid w:val="001F3B63"/>
    <w:rsid w:val="002B63C2"/>
    <w:rsid w:val="002C0F8B"/>
    <w:rsid w:val="002F12E2"/>
    <w:rsid w:val="0033766D"/>
    <w:rsid w:val="00430AB9"/>
    <w:rsid w:val="004D3CEF"/>
    <w:rsid w:val="00540AF8"/>
    <w:rsid w:val="006824E6"/>
    <w:rsid w:val="006A2751"/>
    <w:rsid w:val="007074D0"/>
    <w:rsid w:val="00721D60"/>
    <w:rsid w:val="007664EA"/>
    <w:rsid w:val="00787C54"/>
    <w:rsid w:val="00807ACB"/>
    <w:rsid w:val="008679E9"/>
    <w:rsid w:val="008918D2"/>
    <w:rsid w:val="00964B75"/>
    <w:rsid w:val="009F30F7"/>
    <w:rsid w:val="00A834EE"/>
    <w:rsid w:val="00AE2508"/>
    <w:rsid w:val="00B048A5"/>
    <w:rsid w:val="00B13582"/>
    <w:rsid w:val="00B34CB4"/>
    <w:rsid w:val="00C02837"/>
    <w:rsid w:val="00C142BD"/>
    <w:rsid w:val="00C15067"/>
    <w:rsid w:val="00C171C5"/>
    <w:rsid w:val="00C253AE"/>
    <w:rsid w:val="00C84F57"/>
    <w:rsid w:val="00CA5BDD"/>
    <w:rsid w:val="00D213A4"/>
    <w:rsid w:val="00D32E74"/>
    <w:rsid w:val="00D6741D"/>
    <w:rsid w:val="00D67BED"/>
    <w:rsid w:val="00D95E61"/>
    <w:rsid w:val="00DF5232"/>
    <w:rsid w:val="00E131F7"/>
    <w:rsid w:val="00E3652B"/>
    <w:rsid w:val="00EA4BD7"/>
    <w:rsid w:val="00F22061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517D"/>
  <w15:chartTrackingRefBased/>
  <w15:docId w15:val="{41B4E5D3-A3C7-4941-863C-1543D6B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1"/>
    <w:next w:val="Body"/>
    <w:link w:val="Heading1Char"/>
    <w:uiPriority w:val="9"/>
    <w:qFormat/>
    <w:rsid w:val="001B27E6"/>
    <w:pPr>
      <w:outlineLvl w:val="0"/>
    </w:pPr>
    <w:rPr>
      <w:rFonts w:ascii="Arial" w:hAnsi="Arial" w:cs="Arial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C02837"/>
    <w:pPr>
      <w:spacing w:before="160" w:after="0"/>
      <w:outlineLvl w:val="1"/>
    </w:pPr>
    <w:rPr>
      <w:rFonts w:ascii="Arial" w:hAnsi="Arial" w:cs="Arial"/>
      <w:color w:val="C05127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02837"/>
    <w:pPr>
      <w:spacing w:before="240" w:after="4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qFormat/>
    <w:rsid w:val="009F30F7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color w:val="000000"/>
      <w:sz w:val="60"/>
      <w:szCs w:val="60"/>
      <w:lang w:val="en-US"/>
    </w:rPr>
  </w:style>
  <w:style w:type="paragraph" w:customStyle="1" w:styleId="Covertitlebold">
    <w:name w:val="Cover title bold"/>
    <w:basedOn w:val="Covertitle"/>
    <w:qFormat/>
    <w:rsid w:val="009F30F7"/>
    <w:rPr>
      <w:b/>
    </w:rPr>
  </w:style>
  <w:style w:type="paragraph" w:styleId="Footer">
    <w:name w:val="footer"/>
    <w:basedOn w:val="Normal"/>
    <w:link w:val="FooterChar"/>
    <w:uiPriority w:val="99"/>
    <w:unhideWhenUsed/>
    <w:rsid w:val="00C02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837"/>
  </w:style>
  <w:style w:type="paragraph" w:customStyle="1" w:styleId="BasicParagraph">
    <w:name w:val="[Basic Paragraph]"/>
    <w:basedOn w:val="Normal"/>
    <w:uiPriority w:val="99"/>
    <w:rsid w:val="00C02837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customStyle="1" w:styleId="H1">
    <w:name w:val="H1"/>
    <w:basedOn w:val="Normal"/>
    <w:uiPriority w:val="99"/>
    <w:rsid w:val="00C02837"/>
    <w:pPr>
      <w:suppressAutoHyphens/>
      <w:autoSpaceDE w:val="0"/>
      <w:autoSpaceDN w:val="0"/>
      <w:adjustRightInd w:val="0"/>
      <w:spacing w:before="113" w:after="170" w:line="288" w:lineRule="auto"/>
      <w:textAlignment w:val="center"/>
    </w:pPr>
    <w:rPr>
      <w:rFonts w:ascii="MetaOT-Light" w:hAnsi="MetaOT-Light" w:cs="MetaOT-Light"/>
      <w:color w:val="C05127"/>
      <w:sz w:val="40"/>
      <w:szCs w:val="40"/>
      <w:lang w:val="en-US"/>
    </w:rPr>
  </w:style>
  <w:style w:type="paragraph" w:customStyle="1" w:styleId="Body">
    <w:name w:val="Body"/>
    <w:basedOn w:val="BasicParagraph"/>
    <w:uiPriority w:val="99"/>
    <w:rsid w:val="00C02837"/>
  </w:style>
  <w:style w:type="paragraph" w:customStyle="1" w:styleId="H2">
    <w:name w:val="H2"/>
    <w:basedOn w:val="H1"/>
    <w:uiPriority w:val="99"/>
    <w:rsid w:val="00C02837"/>
    <w:pPr>
      <w:spacing w:before="57" w:after="113"/>
    </w:pPr>
    <w:rPr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B27E6"/>
    <w:rPr>
      <w:rFonts w:ascii="Arial" w:hAnsi="Arial" w:cs="Arial"/>
      <w:color w:val="C05127"/>
      <w:sz w:val="40"/>
      <w:szCs w:val="40"/>
      <w:lang w:val="en-US"/>
    </w:rPr>
  </w:style>
  <w:style w:type="paragraph" w:customStyle="1" w:styleId="Intropara">
    <w:name w:val="Intro para"/>
    <w:next w:val="BasicParagraph"/>
    <w:qFormat/>
    <w:rsid w:val="00C02837"/>
    <w:pPr>
      <w:spacing w:after="240"/>
    </w:pPr>
    <w:rPr>
      <w:rFonts w:ascii="Arial" w:hAnsi="Arial" w:cs="Arial"/>
      <w:i/>
      <w:iCs/>
      <w:color w:val="C05127"/>
      <w:sz w:val="22"/>
      <w:szCs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02837"/>
    <w:rPr>
      <w:rFonts w:ascii="Arial" w:hAnsi="Arial" w:cs="Arial"/>
      <w:color w:val="C05127"/>
      <w:sz w:val="32"/>
      <w:szCs w:val="32"/>
      <w:lang w:val="en-US"/>
    </w:rPr>
  </w:style>
  <w:style w:type="paragraph" w:customStyle="1" w:styleId="Bullets">
    <w:name w:val="Bullets"/>
    <w:basedOn w:val="BasicParagraph"/>
    <w:qFormat/>
    <w:rsid w:val="00C02837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02837"/>
    <w:rPr>
      <w:rFonts w:ascii="Arial" w:hAnsi="Arial" w:cs="Arial"/>
      <w:color w:val="C05127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5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61"/>
  </w:style>
  <w:style w:type="character" w:styleId="PageNumber">
    <w:name w:val="page number"/>
    <w:basedOn w:val="DefaultParagraphFont"/>
    <w:uiPriority w:val="99"/>
    <w:semiHidden/>
    <w:unhideWhenUsed/>
    <w:rsid w:val="00D95E61"/>
  </w:style>
  <w:style w:type="paragraph" w:customStyle="1" w:styleId="Footertext">
    <w:name w:val="Footer text"/>
    <w:qFormat/>
    <w:rsid w:val="00D95E61"/>
    <w:pPr>
      <w:jc w:val="center"/>
    </w:pPr>
    <w:rPr>
      <w:rFonts w:ascii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E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qFormat/>
    <w:rsid w:val="00C253AE"/>
    <w:rPr>
      <w:rFonts w:ascii="Arial" w:hAnsi="Arial" w:cs="Arial"/>
      <w:b/>
      <w:bCs/>
      <w:color w:val="FFFFFF" w:themeColor="background1"/>
      <w:lang w:val="en-US"/>
    </w:rPr>
  </w:style>
  <w:style w:type="paragraph" w:customStyle="1" w:styleId="Numberedtable">
    <w:name w:val="Numbered table"/>
    <w:basedOn w:val="Normal"/>
    <w:uiPriority w:val="99"/>
    <w:rsid w:val="00964B75"/>
    <w:pPr>
      <w:suppressAutoHyphens/>
      <w:autoSpaceDE w:val="0"/>
      <w:autoSpaceDN w:val="0"/>
      <w:adjustRightInd w:val="0"/>
      <w:spacing w:after="113" w:line="288" w:lineRule="auto"/>
      <w:ind w:left="360" w:hanging="360"/>
      <w:textAlignment w:val="center"/>
    </w:pPr>
    <w:rPr>
      <w:rFonts w:ascii="Arial" w:hAnsi="Arial" w:cs="Arial"/>
      <w:color w:val="000000"/>
      <w:sz w:val="22"/>
      <w:szCs w:val="22"/>
      <w:lang w:val="en-US"/>
    </w:rPr>
  </w:style>
  <w:style w:type="paragraph" w:customStyle="1" w:styleId="Tablerowheading">
    <w:name w:val="Table row heading"/>
    <w:basedOn w:val="Tableheading1-black"/>
    <w:qFormat/>
    <w:rsid w:val="007074D0"/>
    <w:rPr>
      <w:color w:val="FFFFFF" w:themeColor="background1"/>
    </w:rPr>
  </w:style>
  <w:style w:type="paragraph" w:customStyle="1" w:styleId="Tableheading1-black">
    <w:name w:val="Table heading 1 - black"/>
    <w:qFormat/>
    <w:rsid w:val="007074D0"/>
    <w:rPr>
      <w:rFonts w:ascii="Arial" w:hAnsi="Arial" w:cs="Arial"/>
      <w:b/>
      <w:bCs/>
      <w:color w:val="000000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30711"/>
    <w:pPr>
      <w:ind w:left="720"/>
      <w:contextualSpacing/>
    </w:pPr>
  </w:style>
  <w:style w:type="paragraph" w:customStyle="1" w:styleId="Tableheading1-orange">
    <w:name w:val="Table heading 1 - orange"/>
    <w:basedOn w:val="Tableheading1-black"/>
    <w:qFormat/>
    <w:rsid w:val="008679E9"/>
    <w:rPr>
      <w:color w:val="EE7D31"/>
    </w:rPr>
  </w:style>
  <w:style w:type="table" w:customStyle="1" w:styleId="Tableorange">
    <w:name w:val="Table orange"/>
    <w:basedOn w:val="TableNormal"/>
    <w:uiPriority w:val="99"/>
    <w:rsid w:val="00807ACB"/>
    <w:rPr>
      <w:rFonts w:ascii="Arial" w:hAnsi="Arial"/>
      <w:sz w:val="22"/>
    </w:rPr>
    <w:tblPr>
      <w:tblBorders>
        <w:top w:val="single" w:sz="4" w:space="0" w:color="ED7D31" w:themeColor="accent2"/>
        <w:bottom w:val="single" w:sz="4" w:space="0" w:color="ED7D31" w:themeColor="accent2"/>
      </w:tblBorders>
      <w:tblCellMar>
        <w:top w:w="567" w:type="dxa"/>
        <w:left w:w="567" w:type="dxa"/>
        <w:bottom w:w="567" w:type="dxa"/>
        <w:right w:w="567" w:type="dxa"/>
      </w:tblCellMar>
    </w:tblPr>
  </w:style>
  <w:style w:type="character" w:styleId="Hyperlink">
    <w:name w:val="Hyperlink"/>
    <w:basedOn w:val="DefaultParagraphFont"/>
    <w:uiPriority w:val="99"/>
    <w:unhideWhenUsed/>
    <w:rsid w:val="00E131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1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B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04498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10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ltc@dsdsatsip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ld.gov.au/firstnations/grants-funding/local-thriving-communities-gra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076883910CE4E8CA8FB087553289D" ma:contentTypeVersion="11" ma:contentTypeDescription="Create a new document." ma:contentTypeScope="" ma:versionID="d4adc1f87a966f9184faf2e2b091df55">
  <xsd:schema xmlns:xsd="http://www.w3.org/2001/XMLSchema" xmlns:xs="http://www.w3.org/2001/XMLSchema" xmlns:p="http://schemas.microsoft.com/office/2006/metadata/properties" xmlns:ns3="ae1a6712-7706-4f54-98a1-fca9afc12891" xmlns:ns4="0af3f5de-3a55-4733-81b3-652f6600adfc" targetNamespace="http://schemas.microsoft.com/office/2006/metadata/properties" ma:root="true" ma:fieldsID="106b019d78cfdf6da7bf7670ce749f0c" ns3:_="" ns4:_="">
    <xsd:import namespace="ae1a6712-7706-4f54-98a1-fca9afc12891"/>
    <xsd:import namespace="0af3f5de-3a55-4733-81b3-652f6600ad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a6712-7706-4f54-98a1-fca9afc1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f5de-3a55-4733-81b3-652f6600a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D3B42-03CB-488D-A15A-379F22AA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a6712-7706-4f54-98a1-fca9afc12891"/>
    <ds:schemaRef ds:uri="0af3f5de-3a55-4733-81b3-652f6600a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4CF94-F4E1-48F6-A32F-656683E61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1CD16-9C7A-48D9-8E49-38962AEE0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C9FAA4-1C0B-46E8-98FD-680D16EC1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Kate Hannah</cp:lastModifiedBy>
  <cp:revision>2</cp:revision>
  <dcterms:created xsi:type="dcterms:W3CDTF">2022-03-30T00:31:00Z</dcterms:created>
  <dcterms:modified xsi:type="dcterms:W3CDTF">2022-03-30T00:31:00Z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0x010100B6A076883910CE4E8CA8FB087553289D</vt:lpwstr>
  </property>
</Properties>
</file>