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F039" w14:textId="649F2B48" w:rsidR="005423DF" w:rsidRPr="005423DF" w:rsidRDefault="009B35B7" w:rsidP="009B35B7">
      <w:pPr>
        <w:pStyle w:val="Coverpagetitle"/>
      </w:pPr>
      <w:r>
        <w:t xml:space="preserve">Guidelines for the discovery, handling, and management of human </w:t>
      </w:r>
      <w:proofErr w:type="gramStart"/>
      <w:r>
        <w:t>remains</w:t>
      </w:r>
      <w:proofErr w:type="gramEnd"/>
    </w:p>
    <w:p w14:paraId="5F271D8C" w14:textId="77777777" w:rsidR="00A320B9" w:rsidRDefault="00A320B9" w:rsidP="00237A4E">
      <w:pPr>
        <w:tabs>
          <w:tab w:val="left" w:pos="909"/>
        </w:tabs>
      </w:pPr>
    </w:p>
    <w:p w14:paraId="14F93136" w14:textId="063CA232" w:rsidR="005423DF" w:rsidRPr="00237A4E" w:rsidRDefault="005423DF" w:rsidP="00237A4E">
      <w:pPr>
        <w:tabs>
          <w:tab w:val="left" w:pos="909"/>
        </w:tabs>
        <w:sectPr w:rsidR="005423DF" w:rsidRPr="00237A4E" w:rsidSect="00B30353">
          <w:headerReference w:type="first" r:id="rId8"/>
          <w:endnotePr>
            <w:numFmt w:val="decimal"/>
          </w:endnotePr>
          <w:pgSz w:w="11906" w:h="16838"/>
          <w:pgMar w:top="4972" w:right="1134" w:bottom="851" w:left="1134" w:header="709" w:footer="709" w:gutter="0"/>
          <w:cols w:space="708"/>
          <w:titlePg/>
          <w:docGrid w:linePitch="360"/>
        </w:sectPr>
      </w:pPr>
    </w:p>
    <w:p w14:paraId="36E190E7" w14:textId="151795FE" w:rsidR="002C127D" w:rsidRPr="001E18A2" w:rsidRDefault="002C127D" w:rsidP="00D93690">
      <w:pPr>
        <w:pStyle w:val="TOCHeading"/>
      </w:pPr>
      <w:r w:rsidRPr="001E18A2">
        <w:lastRenderedPageBreak/>
        <w:t xml:space="preserve">Table of </w:t>
      </w:r>
      <w:r w:rsidRPr="00D93690">
        <w:t>contents</w:t>
      </w:r>
    </w:p>
    <w:p w14:paraId="2F9F2925" w14:textId="156237FD" w:rsidR="00EC59FF" w:rsidRDefault="002C127D">
      <w:pPr>
        <w:pStyle w:val="TOC1"/>
        <w:rPr>
          <w:rFonts w:asciiTheme="minorHAnsi" w:eastAsiaTheme="minorEastAsia" w:hAnsiTheme="minorHAnsi" w:cstheme="minorBidi"/>
          <w:kern w:val="2"/>
          <w:sz w:val="22"/>
          <w:szCs w:val="22"/>
          <w:lang w:val="en-AU"/>
          <w14:ligatures w14:val="standardContextual"/>
        </w:rPr>
      </w:pPr>
      <w:r>
        <w:rPr>
          <w:color w:val="00877F"/>
        </w:rPr>
        <w:fldChar w:fldCharType="begin"/>
      </w:r>
      <w:r w:rsidRPr="00B63690">
        <w:instrText xml:space="preserve"> TOC \o "1-3" \h \z \u </w:instrText>
      </w:r>
      <w:r>
        <w:rPr>
          <w:color w:val="00877F"/>
        </w:rPr>
        <w:fldChar w:fldCharType="separate"/>
      </w:r>
      <w:hyperlink w:anchor="_Toc171514335" w:history="1">
        <w:r w:rsidR="00EC59FF" w:rsidRPr="006C07B0">
          <w:rPr>
            <w:rStyle w:val="Hyperlink"/>
          </w:rPr>
          <w:t>Guidelines for the discovery, handling, and management of human remains</w:t>
        </w:r>
        <w:r w:rsidR="00EC59FF">
          <w:rPr>
            <w:webHidden/>
          </w:rPr>
          <w:tab/>
        </w:r>
        <w:r w:rsidR="00EC59FF">
          <w:rPr>
            <w:webHidden/>
          </w:rPr>
          <w:fldChar w:fldCharType="begin"/>
        </w:r>
        <w:r w:rsidR="00EC59FF">
          <w:rPr>
            <w:webHidden/>
          </w:rPr>
          <w:instrText xml:space="preserve"> PAGEREF _Toc171514335 \h </w:instrText>
        </w:r>
        <w:r w:rsidR="00EC59FF">
          <w:rPr>
            <w:webHidden/>
          </w:rPr>
        </w:r>
        <w:r w:rsidR="00EC59FF">
          <w:rPr>
            <w:webHidden/>
          </w:rPr>
          <w:fldChar w:fldCharType="separate"/>
        </w:r>
        <w:r w:rsidR="00EC59FF">
          <w:rPr>
            <w:webHidden/>
          </w:rPr>
          <w:t>1</w:t>
        </w:r>
        <w:r w:rsidR="00EC59FF">
          <w:rPr>
            <w:webHidden/>
          </w:rPr>
          <w:fldChar w:fldCharType="end"/>
        </w:r>
      </w:hyperlink>
    </w:p>
    <w:p w14:paraId="07FA390D" w14:textId="34063273"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36" w:history="1">
        <w:r w:rsidR="00EC59FF" w:rsidRPr="006C07B0">
          <w:rPr>
            <w:rStyle w:val="Hyperlink"/>
          </w:rPr>
          <w:t>Guiding principle</w:t>
        </w:r>
        <w:r w:rsidR="00EC59FF">
          <w:rPr>
            <w:webHidden/>
          </w:rPr>
          <w:tab/>
        </w:r>
        <w:r w:rsidR="00EC59FF">
          <w:rPr>
            <w:webHidden/>
          </w:rPr>
          <w:fldChar w:fldCharType="begin"/>
        </w:r>
        <w:r w:rsidR="00EC59FF">
          <w:rPr>
            <w:webHidden/>
          </w:rPr>
          <w:instrText xml:space="preserve"> PAGEREF _Toc171514336 \h </w:instrText>
        </w:r>
        <w:r w:rsidR="00EC59FF">
          <w:rPr>
            <w:webHidden/>
          </w:rPr>
        </w:r>
        <w:r w:rsidR="00EC59FF">
          <w:rPr>
            <w:webHidden/>
          </w:rPr>
          <w:fldChar w:fldCharType="separate"/>
        </w:r>
        <w:r w:rsidR="00EC59FF">
          <w:rPr>
            <w:webHidden/>
          </w:rPr>
          <w:t>1</w:t>
        </w:r>
        <w:r w:rsidR="00EC59FF">
          <w:rPr>
            <w:webHidden/>
          </w:rPr>
          <w:fldChar w:fldCharType="end"/>
        </w:r>
      </w:hyperlink>
    </w:p>
    <w:p w14:paraId="256B5B93" w14:textId="67E2F409"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37" w:history="1">
        <w:r w:rsidR="00EC59FF" w:rsidRPr="006C07B0">
          <w:rPr>
            <w:rStyle w:val="Hyperlink"/>
          </w:rPr>
          <w:t>Desired outcomes</w:t>
        </w:r>
        <w:r w:rsidR="00EC59FF">
          <w:rPr>
            <w:webHidden/>
          </w:rPr>
          <w:tab/>
        </w:r>
        <w:r w:rsidR="00EC59FF">
          <w:rPr>
            <w:webHidden/>
          </w:rPr>
          <w:fldChar w:fldCharType="begin"/>
        </w:r>
        <w:r w:rsidR="00EC59FF">
          <w:rPr>
            <w:webHidden/>
          </w:rPr>
          <w:instrText xml:space="preserve"> PAGEREF _Toc171514337 \h </w:instrText>
        </w:r>
        <w:r w:rsidR="00EC59FF">
          <w:rPr>
            <w:webHidden/>
          </w:rPr>
        </w:r>
        <w:r w:rsidR="00EC59FF">
          <w:rPr>
            <w:webHidden/>
          </w:rPr>
          <w:fldChar w:fldCharType="separate"/>
        </w:r>
        <w:r w:rsidR="00EC59FF">
          <w:rPr>
            <w:webHidden/>
          </w:rPr>
          <w:t>1</w:t>
        </w:r>
        <w:r w:rsidR="00EC59FF">
          <w:rPr>
            <w:webHidden/>
          </w:rPr>
          <w:fldChar w:fldCharType="end"/>
        </w:r>
      </w:hyperlink>
    </w:p>
    <w:p w14:paraId="22A4E48E" w14:textId="1CF69EE5"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38" w:history="1">
        <w:r w:rsidR="00EC59FF" w:rsidRPr="006C07B0">
          <w:rPr>
            <w:rStyle w:val="Hyperlink"/>
          </w:rPr>
          <w:t>Legislative framework</w:t>
        </w:r>
        <w:r w:rsidR="00EC59FF">
          <w:rPr>
            <w:webHidden/>
          </w:rPr>
          <w:tab/>
        </w:r>
        <w:r w:rsidR="00EC59FF">
          <w:rPr>
            <w:webHidden/>
          </w:rPr>
          <w:fldChar w:fldCharType="begin"/>
        </w:r>
        <w:r w:rsidR="00EC59FF">
          <w:rPr>
            <w:webHidden/>
          </w:rPr>
          <w:instrText xml:space="preserve"> PAGEREF _Toc171514338 \h </w:instrText>
        </w:r>
        <w:r w:rsidR="00EC59FF">
          <w:rPr>
            <w:webHidden/>
          </w:rPr>
        </w:r>
        <w:r w:rsidR="00EC59FF">
          <w:rPr>
            <w:webHidden/>
          </w:rPr>
          <w:fldChar w:fldCharType="separate"/>
        </w:r>
        <w:r w:rsidR="00EC59FF">
          <w:rPr>
            <w:webHidden/>
          </w:rPr>
          <w:t>1</w:t>
        </w:r>
        <w:r w:rsidR="00EC59FF">
          <w:rPr>
            <w:webHidden/>
          </w:rPr>
          <w:fldChar w:fldCharType="end"/>
        </w:r>
      </w:hyperlink>
    </w:p>
    <w:p w14:paraId="2AE0E05F" w14:textId="5799D42E" w:rsidR="00EC59FF" w:rsidRPr="000E35A4" w:rsidRDefault="00A06CFA" w:rsidP="000E35A4">
      <w:pPr>
        <w:pStyle w:val="TOC3"/>
        <w:rPr>
          <w:rFonts w:asciiTheme="minorHAnsi" w:eastAsiaTheme="minorEastAsia" w:hAnsiTheme="minorHAnsi" w:cstheme="minorBidi"/>
          <w:color w:val="auto"/>
          <w:kern w:val="2"/>
          <w:sz w:val="22"/>
          <w:szCs w:val="22"/>
          <w:lang w:val="en-AU"/>
          <w14:ligatures w14:val="standardContextual"/>
        </w:rPr>
      </w:pPr>
      <w:hyperlink w:anchor="_Toc171514339" w:history="1">
        <w:r w:rsidR="00EC59FF" w:rsidRPr="000E35A4">
          <w:rPr>
            <w:rStyle w:val="Hyperlink"/>
            <w:i/>
            <w:iCs/>
          </w:rPr>
          <w:t>Criminal Code Act 1899</w:t>
        </w:r>
        <w:r w:rsidR="00EC59FF" w:rsidRPr="000E35A4">
          <w:rPr>
            <w:webHidden/>
          </w:rPr>
          <w:tab/>
        </w:r>
        <w:r w:rsidR="00EC59FF" w:rsidRPr="000E35A4">
          <w:rPr>
            <w:webHidden/>
          </w:rPr>
          <w:fldChar w:fldCharType="begin"/>
        </w:r>
        <w:r w:rsidR="00EC59FF" w:rsidRPr="000E35A4">
          <w:rPr>
            <w:webHidden/>
          </w:rPr>
          <w:instrText xml:space="preserve"> PAGEREF _Toc171514339 \h </w:instrText>
        </w:r>
        <w:r w:rsidR="00EC59FF" w:rsidRPr="000E35A4">
          <w:rPr>
            <w:webHidden/>
          </w:rPr>
        </w:r>
        <w:r w:rsidR="00EC59FF" w:rsidRPr="000E35A4">
          <w:rPr>
            <w:webHidden/>
          </w:rPr>
          <w:fldChar w:fldCharType="separate"/>
        </w:r>
        <w:r w:rsidR="00EC59FF" w:rsidRPr="000E35A4">
          <w:rPr>
            <w:webHidden/>
          </w:rPr>
          <w:t>1</w:t>
        </w:r>
        <w:r w:rsidR="00EC59FF" w:rsidRPr="000E35A4">
          <w:rPr>
            <w:webHidden/>
          </w:rPr>
          <w:fldChar w:fldCharType="end"/>
        </w:r>
      </w:hyperlink>
    </w:p>
    <w:p w14:paraId="100C6C9D" w14:textId="219559B4" w:rsidR="00EC59FF" w:rsidRPr="000E35A4" w:rsidRDefault="00A06CFA" w:rsidP="000E35A4">
      <w:pPr>
        <w:pStyle w:val="TOC3"/>
        <w:rPr>
          <w:rFonts w:asciiTheme="minorHAnsi" w:eastAsiaTheme="minorEastAsia" w:hAnsiTheme="minorHAnsi" w:cstheme="minorBidi"/>
          <w:color w:val="auto"/>
          <w:kern w:val="2"/>
          <w:sz w:val="22"/>
          <w:szCs w:val="22"/>
          <w:lang w:val="en-AU"/>
          <w14:ligatures w14:val="standardContextual"/>
        </w:rPr>
      </w:pPr>
      <w:hyperlink w:anchor="_Toc171514340" w:history="1">
        <w:r w:rsidR="00EC59FF" w:rsidRPr="000E35A4">
          <w:rPr>
            <w:rStyle w:val="Hyperlink"/>
            <w:i/>
            <w:iCs/>
          </w:rPr>
          <w:t>Coroners Act 2003</w:t>
        </w:r>
        <w:r w:rsidR="00EC59FF" w:rsidRPr="000E35A4">
          <w:rPr>
            <w:webHidden/>
          </w:rPr>
          <w:tab/>
        </w:r>
        <w:r w:rsidR="00EC59FF" w:rsidRPr="000E35A4">
          <w:rPr>
            <w:webHidden/>
          </w:rPr>
          <w:fldChar w:fldCharType="begin"/>
        </w:r>
        <w:r w:rsidR="00EC59FF" w:rsidRPr="000E35A4">
          <w:rPr>
            <w:webHidden/>
          </w:rPr>
          <w:instrText xml:space="preserve"> PAGEREF _Toc171514340 \h </w:instrText>
        </w:r>
        <w:r w:rsidR="00EC59FF" w:rsidRPr="000E35A4">
          <w:rPr>
            <w:webHidden/>
          </w:rPr>
        </w:r>
        <w:r w:rsidR="00EC59FF" w:rsidRPr="000E35A4">
          <w:rPr>
            <w:webHidden/>
          </w:rPr>
          <w:fldChar w:fldCharType="separate"/>
        </w:r>
        <w:r w:rsidR="00EC59FF" w:rsidRPr="000E35A4">
          <w:rPr>
            <w:webHidden/>
          </w:rPr>
          <w:t>1</w:t>
        </w:r>
        <w:r w:rsidR="00EC59FF" w:rsidRPr="000E35A4">
          <w:rPr>
            <w:webHidden/>
          </w:rPr>
          <w:fldChar w:fldCharType="end"/>
        </w:r>
      </w:hyperlink>
    </w:p>
    <w:p w14:paraId="47AF7D2E" w14:textId="251BFCD9" w:rsidR="00EC59FF" w:rsidRDefault="00A06CFA" w:rsidP="000E35A4">
      <w:pPr>
        <w:pStyle w:val="TOC3"/>
        <w:rPr>
          <w:rFonts w:asciiTheme="minorHAnsi" w:eastAsiaTheme="minorEastAsia" w:hAnsiTheme="minorHAnsi" w:cstheme="minorBidi"/>
          <w:color w:val="auto"/>
          <w:kern w:val="2"/>
          <w:sz w:val="22"/>
          <w:szCs w:val="22"/>
          <w:lang w:val="en-AU"/>
          <w14:ligatures w14:val="standardContextual"/>
        </w:rPr>
      </w:pPr>
      <w:hyperlink w:anchor="_Toc171514341" w:history="1">
        <w:r w:rsidR="00EC59FF" w:rsidRPr="006C07B0">
          <w:rPr>
            <w:rStyle w:val="Hyperlink"/>
            <w:i/>
            <w:iCs/>
          </w:rPr>
          <w:t>Aboriginal Cultural Heritage Act 2003</w:t>
        </w:r>
        <w:r w:rsidR="00EC59FF" w:rsidRPr="006C07B0">
          <w:rPr>
            <w:rStyle w:val="Hyperlink"/>
          </w:rPr>
          <w:t xml:space="preserve"> and </w:t>
        </w:r>
        <w:r w:rsidR="00EC59FF" w:rsidRPr="006C07B0">
          <w:rPr>
            <w:rStyle w:val="Hyperlink"/>
            <w:i/>
            <w:iCs/>
          </w:rPr>
          <w:t>Torres Strait Islander Cultural Heritage Act 2003</w:t>
        </w:r>
        <w:r w:rsidR="00EC59FF">
          <w:rPr>
            <w:webHidden/>
          </w:rPr>
          <w:tab/>
        </w:r>
        <w:r w:rsidR="00EC59FF">
          <w:rPr>
            <w:webHidden/>
          </w:rPr>
          <w:fldChar w:fldCharType="begin"/>
        </w:r>
        <w:r w:rsidR="00EC59FF">
          <w:rPr>
            <w:webHidden/>
          </w:rPr>
          <w:instrText xml:space="preserve"> PAGEREF _Toc171514341 \h </w:instrText>
        </w:r>
        <w:r w:rsidR="00EC59FF">
          <w:rPr>
            <w:webHidden/>
          </w:rPr>
        </w:r>
        <w:r w:rsidR="00EC59FF">
          <w:rPr>
            <w:webHidden/>
          </w:rPr>
          <w:fldChar w:fldCharType="separate"/>
        </w:r>
        <w:r w:rsidR="00EC59FF">
          <w:rPr>
            <w:webHidden/>
          </w:rPr>
          <w:t>1</w:t>
        </w:r>
        <w:r w:rsidR="00EC59FF">
          <w:rPr>
            <w:webHidden/>
          </w:rPr>
          <w:fldChar w:fldCharType="end"/>
        </w:r>
      </w:hyperlink>
    </w:p>
    <w:p w14:paraId="326225C1" w14:textId="0A991104"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42" w:history="1">
        <w:r w:rsidR="00EC59FF" w:rsidRPr="006C07B0">
          <w:rPr>
            <w:rStyle w:val="Hyperlink"/>
          </w:rPr>
          <w:t>Procedures for dealing with the discovery of Aboriginal and Torres Strait Islander human remains</w:t>
        </w:r>
        <w:r w:rsidR="00EC59FF">
          <w:rPr>
            <w:webHidden/>
          </w:rPr>
          <w:tab/>
        </w:r>
        <w:r w:rsidR="00EC59FF">
          <w:rPr>
            <w:webHidden/>
          </w:rPr>
          <w:fldChar w:fldCharType="begin"/>
        </w:r>
        <w:r w:rsidR="00EC59FF">
          <w:rPr>
            <w:webHidden/>
          </w:rPr>
          <w:instrText xml:space="preserve"> PAGEREF _Toc171514342 \h </w:instrText>
        </w:r>
        <w:r w:rsidR="00EC59FF">
          <w:rPr>
            <w:webHidden/>
          </w:rPr>
        </w:r>
        <w:r w:rsidR="00EC59FF">
          <w:rPr>
            <w:webHidden/>
          </w:rPr>
          <w:fldChar w:fldCharType="separate"/>
        </w:r>
        <w:r w:rsidR="00EC59FF">
          <w:rPr>
            <w:webHidden/>
          </w:rPr>
          <w:t>2</w:t>
        </w:r>
        <w:r w:rsidR="00EC59FF">
          <w:rPr>
            <w:webHidden/>
          </w:rPr>
          <w:fldChar w:fldCharType="end"/>
        </w:r>
      </w:hyperlink>
    </w:p>
    <w:p w14:paraId="7A4F20FF" w14:textId="2BA46966" w:rsidR="00EC59FF" w:rsidRDefault="00A06CFA" w:rsidP="000E35A4">
      <w:pPr>
        <w:pStyle w:val="TOC3"/>
        <w:rPr>
          <w:rFonts w:asciiTheme="minorHAnsi" w:eastAsiaTheme="minorEastAsia" w:hAnsiTheme="minorHAnsi" w:cstheme="minorBidi"/>
          <w:color w:val="auto"/>
          <w:kern w:val="2"/>
          <w:sz w:val="22"/>
          <w:szCs w:val="22"/>
          <w:lang w:val="en-AU"/>
          <w14:ligatures w14:val="standardContextual"/>
        </w:rPr>
      </w:pPr>
      <w:hyperlink w:anchor="_Toc171514343" w:history="1">
        <w:r w:rsidR="00EC59FF" w:rsidRPr="006C07B0">
          <w:rPr>
            <w:rStyle w:val="Hyperlink"/>
          </w:rPr>
          <w:t>Procedure for dealing with the discovery of human remains</w:t>
        </w:r>
        <w:r w:rsidR="00EC59FF">
          <w:rPr>
            <w:webHidden/>
          </w:rPr>
          <w:tab/>
        </w:r>
        <w:r w:rsidR="00EC59FF">
          <w:rPr>
            <w:webHidden/>
          </w:rPr>
          <w:fldChar w:fldCharType="begin"/>
        </w:r>
        <w:r w:rsidR="00EC59FF">
          <w:rPr>
            <w:webHidden/>
          </w:rPr>
          <w:instrText xml:space="preserve"> PAGEREF _Toc171514343 \h </w:instrText>
        </w:r>
        <w:r w:rsidR="00EC59FF">
          <w:rPr>
            <w:webHidden/>
          </w:rPr>
        </w:r>
        <w:r w:rsidR="00EC59FF">
          <w:rPr>
            <w:webHidden/>
          </w:rPr>
          <w:fldChar w:fldCharType="separate"/>
        </w:r>
        <w:r w:rsidR="00EC59FF">
          <w:rPr>
            <w:webHidden/>
          </w:rPr>
          <w:t>3</w:t>
        </w:r>
        <w:r w:rsidR="00EC59FF">
          <w:rPr>
            <w:webHidden/>
          </w:rPr>
          <w:fldChar w:fldCharType="end"/>
        </w:r>
      </w:hyperlink>
    </w:p>
    <w:p w14:paraId="48B1C634" w14:textId="7F763158"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44" w:history="1">
        <w:r w:rsidR="00EC59FF" w:rsidRPr="006C07B0">
          <w:rPr>
            <w:rStyle w:val="Hyperlink"/>
          </w:rPr>
          <w:t>Explanation of procedures</w:t>
        </w:r>
        <w:r w:rsidR="00EC59FF">
          <w:rPr>
            <w:webHidden/>
          </w:rPr>
          <w:tab/>
        </w:r>
        <w:r w:rsidR="00EC59FF">
          <w:rPr>
            <w:webHidden/>
          </w:rPr>
          <w:fldChar w:fldCharType="begin"/>
        </w:r>
        <w:r w:rsidR="00EC59FF">
          <w:rPr>
            <w:webHidden/>
          </w:rPr>
          <w:instrText xml:space="preserve"> PAGEREF _Toc171514344 \h </w:instrText>
        </w:r>
        <w:r w:rsidR="00EC59FF">
          <w:rPr>
            <w:webHidden/>
          </w:rPr>
        </w:r>
        <w:r w:rsidR="00EC59FF">
          <w:rPr>
            <w:webHidden/>
          </w:rPr>
          <w:fldChar w:fldCharType="separate"/>
        </w:r>
        <w:r w:rsidR="00EC59FF">
          <w:rPr>
            <w:webHidden/>
          </w:rPr>
          <w:t>4</w:t>
        </w:r>
        <w:r w:rsidR="00EC59FF">
          <w:rPr>
            <w:webHidden/>
          </w:rPr>
          <w:fldChar w:fldCharType="end"/>
        </w:r>
      </w:hyperlink>
    </w:p>
    <w:p w14:paraId="670DA48F" w14:textId="2D7376E4" w:rsidR="00EC59FF" w:rsidRDefault="00A06CFA">
      <w:pPr>
        <w:pStyle w:val="TOC2"/>
        <w:rPr>
          <w:rFonts w:asciiTheme="minorHAnsi" w:eastAsiaTheme="minorEastAsia" w:hAnsiTheme="minorHAnsi" w:cstheme="minorBidi"/>
          <w:color w:val="auto"/>
          <w:kern w:val="2"/>
          <w:lang w:val="en-AU"/>
          <w14:ligatures w14:val="standardContextual"/>
        </w:rPr>
      </w:pPr>
      <w:hyperlink w:anchor="_Toc171514345" w:history="1">
        <w:r w:rsidR="00EC59FF" w:rsidRPr="006C07B0">
          <w:rPr>
            <w:rStyle w:val="Hyperlink"/>
          </w:rPr>
          <w:t>Further information</w:t>
        </w:r>
        <w:r w:rsidR="00EC59FF">
          <w:rPr>
            <w:webHidden/>
          </w:rPr>
          <w:tab/>
        </w:r>
        <w:r w:rsidR="00EC59FF">
          <w:rPr>
            <w:webHidden/>
          </w:rPr>
          <w:fldChar w:fldCharType="begin"/>
        </w:r>
        <w:r w:rsidR="00EC59FF">
          <w:rPr>
            <w:webHidden/>
          </w:rPr>
          <w:instrText xml:space="preserve"> PAGEREF _Toc171514345 \h </w:instrText>
        </w:r>
        <w:r w:rsidR="00EC59FF">
          <w:rPr>
            <w:webHidden/>
          </w:rPr>
        </w:r>
        <w:r w:rsidR="00EC59FF">
          <w:rPr>
            <w:webHidden/>
          </w:rPr>
          <w:fldChar w:fldCharType="separate"/>
        </w:r>
        <w:r w:rsidR="00EC59FF">
          <w:rPr>
            <w:webHidden/>
          </w:rPr>
          <w:t>4</w:t>
        </w:r>
        <w:r w:rsidR="00EC59FF">
          <w:rPr>
            <w:webHidden/>
          </w:rPr>
          <w:fldChar w:fldCharType="end"/>
        </w:r>
      </w:hyperlink>
    </w:p>
    <w:p w14:paraId="661E35EB" w14:textId="116F02D4" w:rsidR="002C127D" w:rsidRDefault="002C127D" w:rsidP="00B76D1E">
      <w:pPr>
        <w:pStyle w:val="BodyText"/>
      </w:pPr>
      <w:r>
        <w:fldChar w:fldCharType="end"/>
      </w:r>
    </w:p>
    <w:p w14:paraId="63CA384F" w14:textId="7A9EF392" w:rsidR="009B35B7" w:rsidRPr="009E2096" w:rsidRDefault="009B35B7" w:rsidP="0053654A">
      <w:pPr>
        <w:tabs>
          <w:tab w:val="left" w:pos="3429"/>
        </w:tabs>
        <w:sectPr w:rsidR="009B35B7" w:rsidRPr="009E2096" w:rsidSect="00854A5E">
          <w:headerReference w:type="default" r:id="rId9"/>
          <w:footerReference w:type="default" r:id="rId10"/>
          <w:pgSz w:w="11906" w:h="16838"/>
          <w:pgMar w:top="1418" w:right="1134" w:bottom="1021" w:left="1134" w:header="709" w:footer="397" w:gutter="0"/>
          <w:pgNumType w:fmt="lowerRoman" w:start="1"/>
          <w:cols w:space="708"/>
          <w:docGrid w:linePitch="360"/>
        </w:sectPr>
      </w:pPr>
    </w:p>
    <w:p w14:paraId="2EB67599" w14:textId="77777777" w:rsidR="009B35B7" w:rsidRDefault="009B35B7" w:rsidP="009B35B7">
      <w:pPr>
        <w:pStyle w:val="Heading1"/>
        <w:numPr>
          <w:ilvl w:val="0"/>
          <w:numId w:val="0"/>
        </w:numPr>
        <w:spacing w:after="200"/>
      </w:pPr>
      <w:bookmarkStart w:id="0" w:name="_Toc171347064"/>
      <w:bookmarkStart w:id="1" w:name="_Toc171514335"/>
      <w:r w:rsidRPr="00D813CC">
        <w:lastRenderedPageBreak/>
        <w:t>Guidelines for the discovery, handling, and management of human remains</w:t>
      </w:r>
      <w:bookmarkEnd w:id="0"/>
      <w:bookmarkEnd w:id="1"/>
    </w:p>
    <w:p w14:paraId="28CA4161" w14:textId="77777777" w:rsidR="009B35B7" w:rsidRPr="00D813CC" w:rsidRDefault="009B35B7" w:rsidP="009B35B7">
      <w:pPr>
        <w:rPr>
          <w:sz w:val="22"/>
          <w:szCs w:val="22"/>
        </w:rPr>
      </w:pPr>
      <w:r w:rsidRPr="00D813CC">
        <w:rPr>
          <w:sz w:val="22"/>
          <w:szCs w:val="22"/>
        </w:rPr>
        <w:t xml:space="preserve">This guideline has been developed under the provisions of the </w:t>
      </w:r>
      <w:r w:rsidRPr="00D813CC">
        <w:rPr>
          <w:i/>
          <w:iCs/>
          <w:sz w:val="22"/>
          <w:szCs w:val="22"/>
        </w:rPr>
        <w:t>Aboriginal Cultural Heritage Act 2003</w:t>
      </w:r>
      <w:r w:rsidRPr="00D813CC">
        <w:rPr>
          <w:sz w:val="22"/>
          <w:szCs w:val="22"/>
        </w:rPr>
        <w:t xml:space="preserve"> and the </w:t>
      </w:r>
      <w:r w:rsidRPr="00D813CC">
        <w:rPr>
          <w:i/>
          <w:iCs/>
          <w:sz w:val="22"/>
          <w:szCs w:val="22"/>
        </w:rPr>
        <w:t>Torres Strait Islander Cultural Heritage Act 2003</w:t>
      </w:r>
      <w:r w:rsidRPr="00D813CC">
        <w:rPr>
          <w:sz w:val="22"/>
          <w:szCs w:val="22"/>
        </w:rPr>
        <w:t xml:space="preserve"> (the Acts). </w:t>
      </w:r>
    </w:p>
    <w:p w14:paraId="723AF50F" w14:textId="77777777" w:rsidR="009B35B7" w:rsidRDefault="009B35B7" w:rsidP="009B35B7">
      <w:pPr>
        <w:rPr>
          <w:sz w:val="22"/>
          <w:szCs w:val="22"/>
        </w:rPr>
      </w:pPr>
      <w:r w:rsidRPr="00D813CC">
        <w:rPr>
          <w:sz w:val="22"/>
          <w:szCs w:val="22"/>
        </w:rPr>
        <w:t xml:space="preserve">If you find bones and suspect they are human, it is essential that you do not disturb them. You must report the findings to the Queensland Police Service as soon as possible. The Police will determine if the remains represent a crime scene. If it is established that the remains are not a crime scene and the </w:t>
      </w:r>
      <w:proofErr w:type="gramStart"/>
      <w:r w:rsidRPr="00D813CC">
        <w:rPr>
          <w:sz w:val="22"/>
          <w:szCs w:val="22"/>
        </w:rPr>
        <w:t>Coroner</w:t>
      </w:r>
      <w:proofErr w:type="gramEnd"/>
      <w:r w:rsidRPr="00D813CC">
        <w:rPr>
          <w:sz w:val="22"/>
          <w:szCs w:val="22"/>
        </w:rPr>
        <w:t xml:space="preserve"> is satisfied that the remains are ancestral Aboriginal or Torres Strait Islander human remains, the procedures in this guideline will apply.</w:t>
      </w:r>
    </w:p>
    <w:p w14:paraId="5AD843F2" w14:textId="77777777" w:rsidR="009B35B7" w:rsidRPr="00D813CC" w:rsidRDefault="009B35B7" w:rsidP="009B35B7">
      <w:pPr>
        <w:pStyle w:val="Heading2"/>
        <w:numPr>
          <w:ilvl w:val="0"/>
          <w:numId w:val="0"/>
        </w:numPr>
        <w:spacing w:after="200"/>
        <w:ind w:left="576" w:hanging="576"/>
      </w:pPr>
      <w:bookmarkStart w:id="2" w:name="_Toc171347065"/>
      <w:bookmarkStart w:id="3" w:name="_Toc171514336"/>
      <w:r w:rsidRPr="00D813CC">
        <w:t>Guiding principle</w:t>
      </w:r>
      <w:bookmarkEnd w:id="2"/>
      <w:bookmarkEnd w:id="3"/>
    </w:p>
    <w:p w14:paraId="35B392BA" w14:textId="77777777" w:rsidR="009B35B7" w:rsidRPr="00D813CC" w:rsidRDefault="009B35B7" w:rsidP="009B35B7">
      <w:pPr>
        <w:rPr>
          <w:sz w:val="22"/>
          <w:szCs w:val="22"/>
        </w:rPr>
      </w:pPr>
      <w:r w:rsidRPr="00D813CC">
        <w:rPr>
          <w:sz w:val="22"/>
          <w:szCs w:val="22"/>
        </w:rPr>
        <w:t>Aboriginal or Torres Strait Islander people who have traditional or familial links with ancestral human remains are the owners of those remains.</w:t>
      </w:r>
    </w:p>
    <w:p w14:paraId="4510AE0E" w14:textId="77777777" w:rsidR="009B35B7" w:rsidRPr="00D813CC" w:rsidRDefault="009B35B7" w:rsidP="009B35B7">
      <w:pPr>
        <w:pStyle w:val="Heading2"/>
        <w:numPr>
          <w:ilvl w:val="0"/>
          <w:numId w:val="0"/>
        </w:numPr>
        <w:spacing w:after="200"/>
        <w:ind w:left="576" w:hanging="576"/>
      </w:pPr>
      <w:bookmarkStart w:id="4" w:name="_Toc171347066"/>
      <w:bookmarkStart w:id="5" w:name="_Toc171514337"/>
      <w:r w:rsidRPr="00D813CC">
        <w:t>Desired outcomes</w:t>
      </w:r>
      <w:bookmarkEnd w:id="4"/>
      <w:bookmarkEnd w:id="5"/>
    </w:p>
    <w:p w14:paraId="2BF229AD" w14:textId="77777777" w:rsidR="009B35B7" w:rsidRPr="00D813CC" w:rsidRDefault="009B35B7" w:rsidP="009B35B7">
      <w:pPr>
        <w:rPr>
          <w:sz w:val="22"/>
          <w:szCs w:val="22"/>
        </w:rPr>
      </w:pPr>
      <w:r w:rsidRPr="00D813CC">
        <w:rPr>
          <w:sz w:val="22"/>
          <w:szCs w:val="22"/>
        </w:rPr>
        <w:t xml:space="preserve">This guideline has </w:t>
      </w:r>
      <w:proofErr w:type="gramStart"/>
      <w:r w:rsidRPr="00D813CC">
        <w:rPr>
          <w:sz w:val="22"/>
          <w:szCs w:val="22"/>
        </w:rPr>
        <w:t>a number of</w:t>
      </w:r>
      <w:proofErr w:type="gramEnd"/>
      <w:r w:rsidRPr="00D813CC">
        <w:rPr>
          <w:sz w:val="22"/>
          <w:szCs w:val="22"/>
        </w:rPr>
        <w:t xml:space="preserve"> desired outcomes: - </w:t>
      </w:r>
    </w:p>
    <w:p w14:paraId="04359C7B" w14:textId="77777777" w:rsidR="009B35B7" w:rsidRPr="00D813CC" w:rsidRDefault="009B35B7" w:rsidP="009B35B7">
      <w:pPr>
        <w:ind w:left="720"/>
        <w:rPr>
          <w:sz w:val="22"/>
          <w:szCs w:val="22"/>
        </w:rPr>
      </w:pPr>
      <w:r w:rsidRPr="00D813CC">
        <w:rPr>
          <w:sz w:val="22"/>
          <w:szCs w:val="22"/>
        </w:rPr>
        <w:sym w:font="Symbol" w:char="F0B7"/>
      </w:r>
      <w:r w:rsidRPr="00D813CC">
        <w:rPr>
          <w:sz w:val="22"/>
          <w:szCs w:val="22"/>
        </w:rPr>
        <w:t xml:space="preserve"> While natural or human processes can inadvertently expose Aboriginal or Torres Strait Islander human remains, all attempts will be made to limit further disturbance. </w:t>
      </w:r>
    </w:p>
    <w:p w14:paraId="17C0CADE" w14:textId="77777777" w:rsidR="009B35B7" w:rsidRPr="00D813CC" w:rsidRDefault="009B35B7" w:rsidP="009B35B7">
      <w:pPr>
        <w:ind w:left="720"/>
        <w:rPr>
          <w:sz w:val="22"/>
          <w:szCs w:val="22"/>
        </w:rPr>
      </w:pPr>
      <w:r w:rsidRPr="00D813CC">
        <w:rPr>
          <w:sz w:val="22"/>
          <w:szCs w:val="22"/>
        </w:rPr>
        <w:sym w:font="Symbol" w:char="F0B7"/>
      </w:r>
      <w:r w:rsidRPr="00D813CC">
        <w:rPr>
          <w:sz w:val="22"/>
          <w:szCs w:val="22"/>
        </w:rPr>
        <w:t xml:space="preserve"> If further investigation and disturbance is required, procedures are in place for the proper handling of such human remains. </w:t>
      </w:r>
    </w:p>
    <w:p w14:paraId="5A335241" w14:textId="77777777" w:rsidR="009B35B7" w:rsidRDefault="009B35B7" w:rsidP="009B35B7">
      <w:pPr>
        <w:ind w:left="720"/>
        <w:rPr>
          <w:sz w:val="22"/>
          <w:szCs w:val="22"/>
        </w:rPr>
      </w:pPr>
      <w:r w:rsidRPr="00D813CC">
        <w:rPr>
          <w:sz w:val="22"/>
          <w:szCs w:val="22"/>
        </w:rPr>
        <w:sym w:font="Symbol" w:char="F0B7"/>
      </w:r>
      <w:r w:rsidRPr="00D813CC">
        <w:rPr>
          <w:sz w:val="22"/>
          <w:szCs w:val="22"/>
        </w:rPr>
        <w:t xml:space="preserve"> All such procedures are sensitive to the wishes of the Aboriginal or Torres Strait Islander owners of the human remains.</w:t>
      </w:r>
    </w:p>
    <w:p w14:paraId="7DE77CDF" w14:textId="77777777" w:rsidR="009B35B7" w:rsidRPr="00D813CC" w:rsidRDefault="009B35B7" w:rsidP="009B35B7">
      <w:pPr>
        <w:pStyle w:val="Heading2"/>
        <w:numPr>
          <w:ilvl w:val="0"/>
          <w:numId w:val="0"/>
        </w:numPr>
        <w:spacing w:after="200"/>
        <w:ind w:left="576" w:hanging="576"/>
      </w:pPr>
      <w:bookmarkStart w:id="6" w:name="_Toc171347067"/>
      <w:bookmarkStart w:id="7" w:name="_Toc171514338"/>
      <w:r w:rsidRPr="00D813CC">
        <w:t>Legislative framework</w:t>
      </w:r>
      <w:bookmarkEnd w:id="6"/>
      <w:bookmarkEnd w:id="7"/>
    </w:p>
    <w:p w14:paraId="34AE817B" w14:textId="77777777" w:rsidR="009B35B7" w:rsidRPr="000E35A4" w:rsidRDefault="009B35B7" w:rsidP="009B35B7">
      <w:pPr>
        <w:pStyle w:val="Heading3"/>
        <w:numPr>
          <w:ilvl w:val="0"/>
          <w:numId w:val="0"/>
        </w:numPr>
        <w:ind w:left="720" w:hanging="720"/>
        <w:rPr>
          <w:b/>
          <w:bCs/>
          <w:i/>
          <w:iCs/>
        </w:rPr>
      </w:pPr>
      <w:bookmarkStart w:id="8" w:name="_Toc171514339"/>
      <w:r w:rsidRPr="000E35A4">
        <w:rPr>
          <w:b/>
          <w:bCs/>
          <w:i/>
          <w:iCs/>
        </w:rPr>
        <w:t>Criminal Code Act 1899</w:t>
      </w:r>
      <w:bookmarkEnd w:id="8"/>
    </w:p>
    <w:p w14:paraId="25AA18F0" w14:textId="77777777" w:rsidR="009B35B7" w:rsidRPr="0086692D" w:rsidRDefault="009B35B7" w:rsidP="009B35B7">
      <w:pPr>
        <w:rPr>
          <w:sz w:val="22"/>
          <w:szCs w:val="22"/>
        </w:rPr>
      </w:pPr>
      <w:r w:rsidRPr="0086692D">
        <w:rPr>
          <w:sz w:val="22"/>
          <w:szCs w:val="22"/>
        </w:rPr>
        <w:t xml:space="preserve">Under the </w:t>
      </w:r>
      <w:r w:rsidRPr="0086692D">
        <w:rPr>
          <w:i/>
          <w:iCs/>
          <w:sz w:val="22"/>
          <w:szCs w:val="22"/>
        </w:rPr>
        <w:t>Criminal Code Act 1899</w:t>
      </w:r>
      <w:r w:rsidRPr="0086692D">
        <w:rPr>
          <w:sz w:val="22"/>
          <w:szCs w:val="22"/>
        </w:rPr>
        <w:t xml:space="preserve">, it is an offence to improperly or indecently interfere with </w:t>
      </w:r>
      <w:proofErr w:type="gramStart"/>
      <w:r w:rsidRPr="0086692D">
        <w:rPr>
          <w:sz w:val="22"/>
          <w:szCs w:val="22"/>
        </w:rPr>
        <w:t>a human body or human remains</w:t>
      </w:r>
      <w:proofErr w:type="gramEnd"/>
      <w:r w:rsidRPr="0086692D">
        <w:rPr>
          <w:sz w:val="22"/>
          <w:szCs w:val="22"/>
        </w:rPr>
        <w:t>, whether buried or not. An offence under this provision can result in imprisonment of up to five years.</w:t>
      </w:r>
    </w:p>
    <w:p w14:paraId="098B6D15" w14:textId="77777777" w:rsidR="009B35B7" w:rsidRPr="000E35A4" w:rsidRDefault="009B35B7" w:rsidP="009B35B7">
      <w:pPr>
        <w:pStyle w:val="Heading3"/>
        <w:numPr>
          <w:ilvl w:val="0"/>
          <w:numId w:val="0"/>
        </w:numPr>
        <w:ind w:left="720" w:hanging="720"/>
        <w:rPr>
          <w:b/>
          <w:bCs/>
          <w:i/>
          <w:iCs/>
        </w:rPr>
      </w:pPr>
      <w:bookmarkStart w:id="9" w:name="_Toc171514340"/>
      <w:r w:rsidRPr="000E35A4">
        <w:rPr>
          <w:b/>
          <w:bCs/>
          <w:i/>
          <w:iCs/>
        </w:rPr>
        <w:t>Coroners Act 2003</w:t>
      </w:r>
      <w:bookmarkEnd w:id="9"/>
    </w:p>
    <w:p w14:paraId="44E47374" w14:textId="77777777" w:rsidR="009B35B7" w:rsidRPr="0086692D" w:rsidRDefault="009B35B7" w:rsidP="009B35B7">
      <w:pPr>
        <w:rPr>
          <w:sz w:val="22"/>
          <w:szCs w:val="22"/>
        </w:rPr>
      </w:pPr>
      <w:r w:rsidRPr="0086692D">
        <w:rPr>
          <w:sz w:val="22"/>
          <w:szCs w:val="22"/>
        </w:rPr>
        <w:t xml:space="preserve">The </w:t>
      </w:r>
      <w:r w:rsidRPr="0086692D">
        <w:rPr>
          <w:i/>
          <w:iCs/>
          <w:sz w:val="22"/>
          <w:szCs w:val="22"/>
        </w:rPr>
        <w:t>Coroners Act 2003</w:t>
      </w:r>
      <w:r w:rsidRPr="0086692D">
        <w:rPr>
          <w:sz w:val="22"/>
          <w:szCs w:val="22"/>
        </w:rPr>
        <w:t xml:space="preserve"> provides that when human remains are located, it is the duty of the person who found the remains to report the findings to a Police Officer or Coroner. The </w:t>
      </w:r>
      <w:proofErr w:type="gramStart"/>
      <w:r w:rsidRPr="0086692D">
        <w:rPr>
          <w:sz w:val="22"/>
          <w:szCs w:val="22"/>
        </w:rPr>
        <w:t>Coroner</w:t>
      </w:r>
      <w:proofErr w:type="gramEnd"/>
      <w:r w:rsidRPr="0086692D">
        <w:rPr>
          <w:sz w:val="22"/>
          <w:szCs w:val="22"/>
        </w:rPr>
        <w:t xml:space="preserve"> will start an investigation, and if it is found that the remains are Aboriginal or Torres Strait Islander traditional burial remains, the investigation must stop. Where this occurs, and the human remains have been removed from the area where they were found, the </w:t>
      </w:r>
      <w:proofErr w:type="gramStart"/>
      <w:r w:rsidRPr="0086692D">
        <w:rPr>
          <w:sz w:val="22"/>
          <w:szCs w:val="22"/>
        </w:rPr>
        <w:t>Coroner</w:t>
      </w:r>
      <w:proofErr w:type="gramEnd"/>
      <w:r w:rsidRPr="0086692D">
        <w:rPr>
          <w:sz w:val="22"/>
          <w:szCs w:val="22"/>
        </w:rPr>
        <w:t xml:space="preserve"> will </w:t>
      </w:r>
      <w:proofErr w:type="spellStart"/>
      <w:r w:rsidRPr="0086692D">
        <w:rPr>
          <w:sz w:val="22"/>
          <w:szCs w:val="22"/>
        </w:rPr>
        <w:t>authorise</w:t>
      </w:r>
      <w:proofErr w:type="spellEnd"/>
      <w:r w:rsidRPr="0086692D">
        <w:rPr>
          <w:sz w:val="22"/>
          <w:szCs w:val="22"/>
        </w:rPr>
        <w:t xml:space="preserve"> the release of the human remains to the Minister responsible for administering the Acts.</w:t>
      </w:r>
    </w:p>
    <w:p w14:paraId="0B2E0528" w14:textId="77777777" w:rsidR="009B35B7" w:rsidRPr="007060FF" w:rsidRDefault="009B35B7" w:rsidP="009B35B7">
      <w:pPr>
        <w:pStyle w:val="Heading3"/>
        <w:numPr>
          <w:ilvl w:val="0"/>
          <w:numId w:val="0"/>
        </w:numPr>
        <w:ind w:left="720" w:hanging="720"/>
        <w:rPr>
          <w:b/>
          <w:bCs/>
          <w:i/>
          <w:iCs/>
        </w:rPr>
      </w:pPr>
      <w:bookmarkStart w:id="10" w:name="_Toc171514341"/>
      <w:r w:rsidRPr="007060FF">
        <w:rPr>
          <w:b/>
          <w:bCs/>
          <w:i/>
          <w:iCs/>
        </w:rPr>
        <w:t>Aboriginal Cultural Heritage Act 2003</w:t>
      </w:r>
      <w:r w:rsidRPr="007060FF">
        <w:rPr>
          <w:b/>
          <w:bCs/>
        </w:rPr>
        <w:t xml:space="preserve"> and </w:t>
      </w:r>
      <w:r w:rsidRPr="007060FF">
        <w:rPr>
          <w:b/>
          <w:bCs/>
          <w:i/>
          <w:iCs/>
        </w:rPr>
        <w:t>Torres Strait Islander Cultural Heritage</w:t>
      </w:r>
      <w:r>
        <w:rPr>
          <w:b/>
          <w:bCs/>
          <w:i/>
          <w:iCs/>
        </w:rPr>
        <w:t xml:space="preserve"> </w:t>
      </w:r>
      <w:r w:rsidRPr="007060FF">
        <w:rPr>
          <w:b/>
          <w:bCs/>
          <w:i/>
          <w:iCs/>
        </w:rPr>
        <w:t>Act 2003</w:t>
      </w:r>
      <w:bookmarkEnd w:id="10"/>
    </w:p>
    <w:p w14:paraId="7F88851A" w14:textId="77777777" w:rsidR="009B35B7" w:rsidRPr="007060FF" w:rsidRDefault="009B35B7" w:rsidP="009B35B7">
      <w:pPr>
        <w:rPr>
          <w:sz w:val="22"/>
          <w:szCs w:val="22"/>
        </w:rPr>
      </w:pPr>
      <w:r w:rsidRPr="007060FF">
        <w:rPr>
          <w:sz w:val="22"/>
          <w:szCs w:val="22"/>
        </w:rPr>
        <w:t xml:space="preserve">Pursuant to the Acts, Aboriginal and Torres Strait Islander human </w:t>
      </w:r>
      <w:proofErr w:type="gramStart"/>
      <w:r w:rsidRPr="007060FF">
        <w:rPr>
          <w:sz w:val="22"/>
          <w:szCs w:val="22"/>
        </w:rPr>
        <w:t>remains</w:t>
      </w:r>
      <w:proofErr w:type="gramEnd"/>
    </w:p>
    <w:p w14:paraId="556665F9" w14:textId="77777777" w:rsidR="009B35B7" w:rsidRPr="007060FF" w:rsidRDefault="009B35B7" w:rsidP="009B35B7">
      <w:pPr>
        <w:numPr>
          <w:ilvl w:val="0"/>
          <w:numId w:val="10"/>
        </w:numPr>
        <w:contextualSpacing/>
        <w:rPr>
          <w:sz w:val="22"/>
          <w:szCs w:val="22"/>
        </w:rPr>
      </w:pPr>
      <w:r w:rsidRPr="007060FF">
        <w:rPr>
          <w:sz w:val="22"/>
          <w:szCs w:val="22"/>
        </w:rPr>
        <w:t>includes burial objects and associated material; but</w:t>
      </w:r>
    </w:p>
    <w:p w14:paraId="5462EC61" w14:textId="77777777" w:rsidR="009B35B7" w:rsidRPr="007060FF" w:rsidRDefault="009B35B7" w:rsidP="009B35B7">
      <w:pPr>
        <w:numPr>
          <w:ilvl w:val="0"/>
          <w:numId w:val="10"/>
        </w:numPr>
        <w:contextualSpacing/>
        <w:rPr>
          <w:sz w:val="22"/>
          <w:szCs w:val="22"/>
        </w:rPr>
      </w:pPr>
      <w:r w:rsidRPr="007060FF">
        <w:rPr>
          <w:sz w:val="22"/>
          <w:szCs w:val="22"/>
        </w:rPr>
        <w:t>does not include human remains —</w:t>
      </w:r>
    </w:p>
    <w:p w14:paraId="721326CB" w14:textId="77777777" w:rsidR="009B35B7" w:rsidRPr="007060FF" w:rsidRDefault="009B35B7" w:rsidP="009B35B7">
      <w:pPr>
        <w:ind w:left="720"/>
        <w:contextualSpacing/>
        <w:rPr>
          <w:sz w:val="22"/>
          <w:szCs w:val="22"/>
        </w:rPr>
      </w:pPr>
      <w:r w:rsidRPr="007060FF">
        <w:rPr>
          <w:sz w:val="22"/>
          <w:szCs w:val="22"/>
        </w:rPr>
        <w:lastRenderedPageBreak/>
        <w:t>(</w:t>
      </w:r>
      <w:proofErr w:type="spellStart"/>
      <w:r w:rsidRPr="007060FF">
        <w:rPr>
          <w:sz w:val="22"/>
          <w:szCs w:val="22"/>
        </w:rPr>
        <w:t>i</w:t>
      </w:r>
      <w:proofErr w:type="spellEnd"/>
      <w:r w:rsidRPr="007060FF">
        <w:rPr>
          <w:sz w:val="22"/>
          <w:szCs w:val="22"/>
        </w:rPr>
        <w:t>) buried under the authority of the law of Queensland or another State; or</w:t>
      </w:r>
    </w:p>
    <w:p w14:paraId="63C4269D" w14:textId="77777777" w:rsidR="009B35B7" w:rsidRPr="007060FF" w:rsidRDefault="009B35B7" w:rsidP="009B35B7">
      <w:pPr>
        <w:ind w:left="720"/>
        <w:contextualSpacing/>
        <w:rPr>
          <w:sz w:val="22"/>
          <w:szCs w:val="22"/>
        </w:rPr>
      </w:pPr>
      <w:r w:rsidRPr="007060FF">
        <w:rPr>
          <w:sz w:val="22"/>
          <w:szCs w:val="22"/>
        </w:rPr>
        <w:t xml:space="preserve">(ii) in or from a place </w:t>
      </w:r>
      <w:proofErr w:type="spellStart"/>
      <w:r w:rsidRPr="007060FF">
        <w:rPr>
          <w:sz w:val="22"/>
          <w:szCs w:val="22"/>
        </w:rPr>
        <w:t>recognised</w:t>
      </w:r>
      <w:proofErr w:type="spellEnd"/>
      <w:r w:rsidRPr="007060FF">
        <w:rPr>
          <w:sz w:val="22"/>
          <w:szCs w:val="22"/>
        </w:rPr>
        <w:t xml:space="preserve"> as a burial ground for interment of human remains buried under the authority of the law of Queensland or another State.</w:t>
      </w:r>
      <w:r w:rsidRPr="007060FF">
        <w:rPr>
          <w:sz w:val="22"/>
          <w:szCs w:val="22"/>
          <w:vertAlign w:val="superscript"/>
        </w:rPr>
        <w:footnoteReference w:id="1"/>
      </w:r>
    </w:p>
    <w:p w14:paraId="770A5263" w14:textId="77777777" w:rsidR="009B35B7" w:rsidRPr="007060FF" w:rsidRDefault="009B35B7" w:rsidP="009B35B7">
      <w:pPr>
        <w:ind w:left="720"/>
        <w:contextualSpacing/>
        <w:rPr>
          <w:sz w:val="22"/>
          <w:szCs w:val="22"/>
        </w:rPr>
      </w:pPr>
    </w:p>
    <w:p w14:paraId="62079BBF" w14:textId="77777777" w:rsidR="009B35B7" w:rsidRPr="007060FF" w:rsidRDefault="009B35B7" w:rsidP="009B35B7">
      <w:pPr>
        <w:rPr>
          <w:sz w:val="22"/>
          <w:szCs w:val="22"/>
        </w:rPr>
      </w:pPr>
      <w:r w:rsidRPr="007060FF">
        <w:rPr>
          <w:sz w:val="22"/>
          <w:szCs w:val="22"/>
        </w:rPr>
        <w:t>Under the Acts, Aboriginal or Torres Strait Islander people who have a traditional or familial link with Aboriginal or Torres Strait Islander human remains are the owners of those remains, regardless of who may have owned them before commencement of the Acts.</w:t>
      </w:r>
    </w:p>
    <w:p w14:paraId="58EECAEC" w14:textId="77777777" w:rsidR="009B35B7" w:rsidRPr="007060FF" w:rsidRDefault="009B35B7" w:rsidP="009B35B7">
      <w:pPr>
        <w:rPr>
          <w:sz w:val="22"/>
          <w:szCs w:val="22"/>
        </w:rPr>
      </w:pPr>
      <w:r w:rsidRPr="007060FF">
        <w:rPr>
          <w:sz w:val="22"/>
          <w:szCs w:val="22"/>
        </w:rPr>
        <w:t>The Acts provide that where Aboriginal or Torres Strait Islander human remains are in the custody of the State, the owners of the human remains may at any time ask the State to continue to be the custodian of those remains or return the human remains to them.</w:t>
      </w:r>
    </w:p>
    <w:p w14:paraId="5BEBA616" w14:textId="77777777" w:rsidR="009B35B7" w:rsidRPr="007060FF" w:rsidRDefault="009B35B7" w:rsidP="009B35B7">
      <w:pPr>
        <w:rPr>
          <w:sz w:val="22"/>
          <w:szCs w:val="22"/>
        </w:rPr>
      </w:pPr>
      <w:r w:rsidRPr="007060FF">
        <w:rPr>
          <w:sz w:val="22"/>
          <w:szCs w:val="22"/>
        </w:rPr>
        <w:t>If a person, other than the State, has in their possession Aboriginal or Torres Strait Islander human remains to which they do not have traditional or familial links, then the person must take all reasonable steps to ensure that the human remains are taken into the custody of the chief executive administering the Acts as soon as practicable. Penalties apply if a person fails to do so.</w:t>
      </w:r>
    </w:p>
    <w:p w14:paraId="7A4F7879" w14:textId="77777777" w:rsidR="009B35B7" w:rsidRPr="007060FF" w:rsidRDefault="009B35B7" w:rsidP="009B35B7">
      <w:pPr>
        <w:rPr>
          <w:sz w:val="22"/>
          <w:szCs w:val="22"/>
        </w:rPr>
      </w:pPr>
      <w:r w:rsidRPr="007060FF">
        <w:rPr>
          <w:sz w:val="22"/>
          <w:szCs w:val="22"/>
        </w:rPr>
        <w:t>If a person knows of the existence and location of Aboriginal or Torres Strait Islander human remains and is not the owner of those remains, the person must as soon as practicable (and after advising the Police or Coroner) advise the chief executive of the remains. Penalties apply if a person fails to do so.</w:t>
      </w:r>
    </w:p>
    <w:p w14:paraId="55CDBC08" w14:textId="77777777" w:rsidR="009B35B7" w:rsidRPr="00D813CC" w:rsidRDefault="009B35B7" w:rsidP="009B35B7">
      <w:pPr>
        <w:pStyle w:val="Heading2"/>
        <w:numPr>
          <w:ilvl w:val="0"/>
          <w:numId w:val="0"/>
        </w:numPr>
        <w:spacing w:after="200"/>
        <w:ind w:left="576" w:hanging="576"/>
      </w:pPr>
      <w:bookmarkStart w:id="11" w:name="_Toc171347068"/>
      <w:bookmarkStart w:id="12" w:name="_Toc171514342"/>
      <w:bookmarkStart w:id="13" w:name="_Hlk127537686"/>
      <w:r w:rsidRPr="00D813CC">
        <w:t>Procedures for dealing with the discovery of Aboriginal and Torres</w:t>
      </w:r>
      <w:r>
        <w:t xml:space="preserve"> </w:t>
      </w:r>
      <w:r w:rsidRPr="00D813CC">
        <w:t xml:space="preserve">Strait Islander human </w:t>
      </w:r>
      <w:proofErr w:type="gramStart"/>
      <w:r w:rsidRPr="00D813CC">
        <w:t>remains</w:t>
      </w:r>
      <w:bookmarkEnd w:id="11"/>
      <w:bookmarkEnd w:id="12"/>
      <w:proofErr w:type="gramEnd"/>
    </w:p>
    <w:bookmarkEnd w:id="13"/>
    <w:p w14:paraId="50B36555" w14:textId="77777777" w:rsidR="009B35B7" w:rsidRPr="0086692D" w:rsidRDefault="009B35B7" w:rsidP="009B35B7">
      <w:pPr>
        <w:rPr>
          <w:sz w:val="22"/>
          <w:szCs w:val="22"/>
        </w:rPr>
      </w:pPr>
      <w:r w:rsidRPr="0086692D">
        <w:rPr>
          <w:sz w:val="22"/>
          <w:szCs w:val="22"/>
        </w:rPr>
        <w:t xml:space="preserve">In all cases when human remains are located it is important to remember: </w:t>
      </w:r>
    </w:p>
    <w:p w14:paraId="0D435356" w14:textId="77777777" w:rsidR="009B35B7" w:rsidRPr="0086692D" w:rsidRDefault="009B35B7" w:rsidP="009B35B7">
      <w:pPr>
        <w:ind w:left="720"/>
        <w:rPr>
          <w:sz w:val="22"/>
          <w:szCs w:val="22"/>
        </w:rPr>
      </w:pPr>
      <w:r w:rsidRPr="0086692D">
        <w:rPr>
          <w:sz w:val="22"/>
          <w:szCs w:val="22"/>
        </w:rPr>
        <w:sym w:font="Symbol" w:char="F0B7"/>
      </w:r>
      <w:r w:rsidRPr="0086692D">
        <w:rPr>
          <w:sz w:val="22"/>
          <w:szCs w:val="22"/>
        </w:rPr>
        <w:t xml:space="preserve"> The discovery of any human remains must be reported to the Police as soon as possible. </w:t>
      </w:r>
    </w:p>
    <w:p w14:paraId="6AE0BB78" w14:textId="77777777" w:rsidR="009B35B7" w:rsidRPr="0086692D" w:rsidRDefault="009B35B7" w:rsidP="009B35B7">
      <w:pPr>
        <w:ind w:left="720"/>
        <w:rPr>
          <w:sz w:val="22"/>
          <w:szCs w:val="22"/>
        </w:rPr>
      </w:pPr>
      <w:r w:rsidRPr="0086692D">
        <w:rPr>
          <w:sz w:val="22"/>
          <w:szCs w:val="22"/>
        </w:rPr>
        <w:sym w:font="Symbol" w:char="F0B7"/>
      </w:r>
      <w:r w:rsidRPr="0086692D">
        <w:rPr>
          <w:sz w:val="22"/>
          <w:szCs w:val="22"/>
        </w:rPr>
        <w:t xml:space="preserve"> It is an offence to interfere with </w:t>
      </w:r>
      <w:proofErr w:type="gramStart"/>
      <w:r w:rsidRPr="0086692D">
        <w:rPr>
          <w:sz w:val="22"/>
          <w:szCs w:val="22"/>
        </w:rPr>
        <w:t>a human body or human remains</w:t>
      </w:r>
      <w:proofErr w:type="gramEnd"/>
      <w:r w:rsidRPr="0086692D">
        <w:rPr>
          <w:sz w:val="22"/>
          <w:szCs w:val="22"/>
        </w:rPr>
        <w:t>, whether buried or not.</w:t>
      </w:r>
    </w:p>
    <w:p w14:paraId="4A84D165" w14:textId="77777777" w:rsidR="009B35B7" w:rsidRPr="0086692D" w:rsidRDefault="009B35B7" w:rsidP="009B35B7">
      <w:pPr>
        <w:rPr>
          <w:sz w:val="22"/>
          <w:szCs w:val="22"/>
        </w:rPr>
      </w:pPr>
      <w:r w:rsidRPr="0086692D">
        <w:rPr>
          <w:sz w:val="22"/>
          <w:szCs w:val="22"/>
        </w:rPr>
        <w:t>The Police or Coroner must be advised of the presence of any human remains. An appropriate officer will then establish the area as a potential crime scene.</w:t>
      </w:r>
    </w:p>
    <w:p w14:paraId="6461F19F" w14:textId="77777777" w:rsidR="009B35B7" w:rsidRPr="0086692D" w:rsidRDefault="009B35B7" w:rsidP="009B35B7">
      <w:pPr>
        <w:rPr>
          <w:sz w:val="22"/>
          <w:szCs w:val="22"/>
        </w:rPr>
      </w:pPr>
      <w:r w:rsidRPr="0086692D">
        <w:rPr>
          <w:sz w:val="22"/>
          <w:szCs w:val="22"/>
        </w:rPr>
        <w:t xml:space="preserve">Police will undertake appropriate scientific or other procedures to assist the </w:t>
      </w:r>
      <w:proofErr w:type="gramStart"/>
      <w:r w:rsidRPr="0086692D">
        <w:rPr>
          <w:sz w:val="22"/>
          <w:szCs w:val="22"/>
        </w:rPr>
        <w:t>Coroner</w:t>
      </w:r>
      <w:proofErr w:type="gramEnd"/>
      <w:r w:rsidRPr="0086692D">
        <w:rPr>
          <w:sz w:val="22"/>
          <w:szCs w:val="22"/>
        </w:rPr>
        <w:t xml:space="preserve"> in making a determination about the human remains. </w:t>
      </w:r>
    </w:p>
    <w:p w14:paraId="294291A0" w14:textId="1808121D" w:rsidR="00CB401B" w:rsidRPr="00EC59FF" w:rsidRDefault="009B35B7" w:rsidP="00EC59FF">
      <w:pPr>
        <w:rPr>
          <w:sz w:val="22"/>
          <w:szCs w:val="22"/>
        </w:rPr>
      </w:pPr>
      <w:r w:rsidRPr="0086692D">
        <w:rPr>
          <w:sz w:val="22"/>
          <w:szCs w:val="22"/>
        </w:rPr>
        <w:t xml:space="preserve">If the human remains are thought to be neither Aboriginal nor Torres Strait Islander, related to criminal activity, or are of doubtful determination, the Police may remove the remains for further analysis. </w:t>
      </w:r>
    </w:p>
    <w:p w14:paraId="126E7944" w14:textId="77777777" w:rsidR="009B35B7" w:rsidRPr="0086692D" w:rsidRDefault="009B35B7" w:rsidP="009B35B7">
      <w:pPr>
        <w:rPr>
          <w:sz w:val="22"/>
          <w:szCs w:val="22"/>
        </w:rPr>
      </w:pPr>
      <w:r w:rsidRPr="0086692D">
        <w:rPr>
          <w:sz w:val="22"/>
          <w:szCs w:val="22"/>
        </w:rPr>
        <w:t xml:space="preserve">If the human remains are determined to be ancestral human remains without the need for removal, the relevant Traditional Owners of the remains will be responsible for their management. </w:t>
      </w:r>
    </w:p>
    <w:p w14:paraId="332ED9B4" w14:textId="77777777" w:rsidR="009B35B7" w:rsidRPr="0086692D" w:rsidRDefault="009B35B7" w:rsidP="009B35B7">
      <w:pPr>
        <w:rPr>
          <w:sz w:val="22"/>
          <w:szCs w:val="22"/>
        </w:rPr>
      </w:pPr>
      <w:r w:rsidRPr="0086692D">
        <w:rPr>
          <w:sz w:val="22"/>
          <w:szCs w:val="22"/>
        </w:rPr>
        <w:lastRenderedPageBreak/>
        <w:t xml:space="preserve">In cases where human remains are removed by Police and subsequently determined by the </w:t>
      </w:r>
      <w:proofErr w:type="gramStart"/>
      <w:r w:rsidRPr="0086692D">
        <w:rPr>
          <w:sz w:val="22"/>
          <w:szCs w:val="22"/>
        </w:rPr>
        <w:t>Coroner</w:t>
      </w:r>
      <w:proofErr w:type="gramEnd"/>
      <w:r w:rsidRPr="0086692D">
        <w:rPr>
          <w:sz w:val="22"/>
          <w:szCs w:val="22"/>
        </w:rPr>
        <w:t xml:space="preserve"> to be of Aboriginal or Torres Strait Islander origin, the remains will be released to the Minister responsible for administering the Acts. </w:t>
      </w:r>
    </w:p>
    <w:p w14:paraId="2762AA7B" w14:textId="77777777" w:rsidR="009B35B7" w:rsidRDefault="009B35B7" w:rsidP="009B35B7">
      <w:pPr>
        <w:rPr>
          <w:sz w:val="22"/>
          <w:szCs w:val="22"/>
        </w:rPr>
      </w:pPr>
      <w:r w:rsidRPr="0086692D">
        <w:rPr>
          <w:sz w:val="22"/>
          <w:szCs w:val="22"/>
        </w:rPr>
        <w:t>If this occurs, the Department of Treaty, Aboriginal and Torres Strait Islander Partnerships, Communities and the Arts</w:t>
      </w:r>
      <w:r w:rsidRPr="0086692D" w:rsidDel="00EF3633">
        <w:rPr>
          <w:sz w:val="22"/>
          <w:szCs w:val="22"/>
        </w:rPr>
        <w:t xml:space="preserve"> </w:t>
      </w:r>
      <w:r w:rsidRPr="0086692D">
        <w:rPr>
          <w:sz w:val="22"/>
          <w:szCs w:val="22"/>
        </w:rPr>
        <w:t>is responsible for coordinating the return of the remains to the relevant Traditional Owners.</w:t>
      </w:r>
    </w:p>
    <w:p w14:paraId="3A75B973" w14:textId="77777777" w:rsidR="00EC59FF" w:rsidRPr="00A7619A" w:rsidRDefault="00EC59FF" w:rsidP="009B35B7">
      <w:pPr>
        <w:rPr>
          <w:sz w:val="22"/>
          <w:szCs w:val="22"/>
        </w:rPr>
      </w:pPr>
    </w:p>
    <w:p w14:paraId="114993BD" w14:textId="77777777" w:rsidR="009B35B7" w:rsidRPr="0086692D" w:rsidRDefault="009B35B7" w:rsidP="002B0DEA">
      <w:pPr>
        <w:pStyle w:val="Heading3"/>
        <w:numPr>
          <w:ilvl w:val="0"/>
          <w:numId w:val="0"/>
        </w:numPr>
        <w:ind w:left="720" w:hanging="720"/>
        <w:jc w:val="center"/>
        <w:rPr>
          <w:b/>
          <w:bCs/>
        </w:rPr>
      </w:pPr>
      <w:bookmarkStart w:id="14" w:name="_Toc171514343"/>
      <w:r w:rsidRPr="0086692D">
        <w:rPr>
          <w:b/>
          <w:bCs/>
        </w:rPr>
        <w:t xml:space="preserve">Procedure for dealing with the discovery of human </w:t>
      </w:r>
      <w:proofErr w:type="gramStart"/>
      <w:r w:rsidRPr="0086692D">
        <w:rPr>
          <w:b/>
          <w:bCs/>
        </w:rPr>
        <w:t>remains</w:t>
      </w:r>
      <w:bookmarkEnd w:id="14"/>
      <w:proofErr w:type="gramEnd"/>
    </w:p>
    <w:p w14:paraId="230B10E5" w14:textId="14EB017E" w:rsidR="00CB401B" w:rsidRDefault="009B35B7" w:rsidP="002B0DEA">
      <w:pPr>
        <w:tabs>
          <w:tab w:val="left" w:pos="1832"/>
        </w:tabs>
        <w:jc w:val="center"/>
      </w:pPr>
      <w:r>
        <w:rPr>
          <w:noProof/>
        </w:rPr>
        <w:drawing>
          <wp:inline distT="0" distB="0" distL="0" distR="0" wp14:anchorId="16A50BBA" wp14:editId="54BFA6F3">
            <wp:extent cx="4764462" cy="577158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9621" cy="5777833"/>
                    </a:xfrm>
                    <a:prstGeom prst="rect">
                      <a:avLst/>
                    </a:prstGeom>
                  </pic:spPr>
                </pic:pic>
              </a:graphicData>
            </a:graphic>
          </wp:inline>
        </w:drawing>
      </w:r>
    </w:p>
    <w:p w14:paraId="4D09D645" w14:textId="3B27C4D5" w:rsidR="00CB401B" w:rsidRDefault="009B35B7" w:rsidP="009B35B7">
      <w:pPr>
        <w:tabs>
          <w:tab w:val="left" w:pos="1057"/>
        </w:tabs>
      </w:pPr>
      <w:r>
        <w:tab/>
      </w:r>
    </w:p>
    <w:p w14:paraId="2AAE9D91" w14:textId="77777777" w:rsidR="009B35B7" w:rsidRDefault="009B35B7" w:rsidP="009B35B7">
      <w:pPr>
        <w:tabs>
          <w:tab w:val="left" w:pos="1057"/>
        </w:tabs>
      </w:pPr>
    </w:p>
    <w:p w14:paraId="27A22E86" w14:textId="77777777" w:rsidR="009B35B7" w:rsidRDefault="009B35B7" w:rsidP="009B35B7">
      <w:pPr>
        <w:tabs>
          <w:tab w:val="left" w:pos="1057"/>
        </w:tabs>
      </w:pPr>
    </w:p>
    <w:p w14:paraId="04F99C87" w14:textId="77777777" w:rsidR="009B35B7" w:rsidRDefault="009B35B7" w:rsidP="009B35B7">
      <w:pPr>
        <w:tabs>
          <w:tab w:val="left" w:pos="1057"/>
        </w:tabs>
      </w:pPr>
    </w:p>
    <w:p w14:paraId="6AC39C13" w14:textId="77777777" w:rsidR="009B35B7" w:rsidRPr="00D813CC" w:rsidRDefault="009B35B7" w:rsidP="009B35B7">
      <w:pPr>
        <w:pStyle w:val="Heading2"/>
        <w:numPr>
          <w:ilvl w:val="0"/>
          <w:numId w:val="0"/>
        </w:numPr>
        <w:spacing w:after="200"/>
        <w:ind w:left="576" w:hanging="576"/>
      </w:pPr>
      <w:bookmarkStart w:id="15" w:name="_Toc171347069"/>
      <w:bookmarkStart w:id="16" w:name="_Toc171514344"/>
      <w:r w:rsidRPr="00D813CC">
        <w:lastRenderedPageBreak/>
        <w:t>Explanation of procedures</w:t>
      </w:r>
      <w:bookmarkEnd w:id="15"/>
      <w:bookmarkEnd w:id="16"/>
    </w:p>
    <w:p w14:paraId="6D47701F" w14:textId="77777777" w:rsidR="009B35B7" w:rsidRPr="0086692D" w:rsidRDefault="009B35B7" w:rsidP="009B35B7">
      <w:pPr>
        <w:rPr>
          <w:sz w:val="22"/>
          <w:szCs w:val="22"/>
        </w:rPr>
      </w:pPr>
      <w:r w:rsidRPr="0086692D">
        <w:rPr>
          <w:sz w:val="22"/>
          <w:szCs w:val="22"/>
        </w:rPr>
        <w:t xml:space="preserve">Police Officers </w:t>
      </w:r>
      <w:proofErr w:type="gramStart"/>
      <w:r w:rsidRPr="0086692D">
        <w:rPr>
          <w:sz w:val="22"/>
          <w:szCs w:val="22"/>
        </w:rPr>
        <w:t>maintain authority and responsibility for a potential crime scene at all times</w:t>
      </w:r>
      <w:proofErr w:type="gramEnd"/>
      <w:r w:rsidRPr="0086692D">
        <w:rPr>
          <w:sz w:val="22"/>
          <w:szCs w:val="22"/>
        </w:rPr>
        <w:t>. Police are responsible for forensic analysis and may seek advice from suitably qualified experts. Digital images may be sent to the relevant experts for an opinion to avoid the removal of the remains. Advice on handling may be sought from appropriate sources.</w:t>
      </w:r>
    </w:p>
    <w:p w14:paraId="68A552B1" w14:textId="77777777" w:rsidR="009B35B7" w:rsidRPr="00D813CC" w:rsidRDefault="009B35B7" w:rsidP="009B35B7">
      <w:pPr>
        <w:pStyle w:val="Heading2"/>
        <w:numPr>
          <w:ilvl w:val="0"/>
          <w:numId w:val="0"/>
        </w:numPr>
        <w:spacing w:after="200"/>
        <w:ind w:left="576" w:hanging="576"/>
      </w:pPr>
      <w:bookmarkStart w:id="17" w:name="_Toc171347070"/>
      <w:bookmarkStart w:id="18" w:name="_Toc171514345"/>
      <w:r w:rsidRPr="00D813CC">
        <w:t>Further information</w:t>
      </w:r>
      <w:bookmarkEnd w:id="17"/>
      <w:bookmarkEnd w:id="18"/>
    </w:p>
    <w:p w14:paraId="29622CD7" w14:textId="77777777" w:rsidR="009B35B7" w:rsidRPr="0086692D" w:rsidRDefault="009B35B7" w:rsidP="009B35B7">
      <w:pPr>
        <w:rPr>
          <w:sz w:val="22"/>
          <w:szCs w:val="22"/>
        </w:rPr>
      </w:pPr>
      <w:r w:rsidRPr="0086692D">
        <w:rPr>
          <w:sz w:val="22"/>
          <w:szCs w:val="22"/>
        </w:rPr>
        <w:t xml:space="preserve">For further information, contact the Site Registrar. </w:t>
      </w:r>
    </w:p>
    <w:p w14:paraId="365EF418" w14:textId="77777777" w:rsidR="009B35B7" w:rsidRPr="0086692D" w:rsidRDefault="009B35B7" w:rsidP="009B35B7">
      <w:pPr>
        <w:spacing w:after="40" w:line="240" w:lineRule="auto"/>
        <w:rPr>
          <w:sz w:val="22"/>
          <w:szCs w:val="22"/>
        </w:rPr>
      </w:pPr>
      <w:r w:rsidRPr="0086692D">
        <w:rPr>
          <w:sz w:val="22"/>
          <w:szCs w:val="22"/>
        </w:rPr>
        <w:t xml:space="preserve">Cultural Heritage Unit </w:t>
      </w:r>
    </w:p>
    <w:p w14:paraId="73C71B33" w14:textId="77777777" w:rsidR="009B35B7" w:rsidRPr="0086692D" w:rsidRDefault="009B35B7" w:rsidP="009B35B7">
      <w:pPr>
        <w:spacing w:after="40" w:line="240" w:lineRule="auto"/>
        <w:rPr>
          <w:sz w:val="22"/>
          <w:szCs w:val="22"/>
        </w:rPr>
      </w:pPr>
      <w:r w:rsidRPr="0086692D">
        <w:rPr>
          <w:sz w:val="22"/>
          <w:szCs w:val="22"/>
        </w:rPr>
        <w:t xml:space="preserve">Phone: 1300 378 401 </w:t>
      </w:r>
    </w:p>
    <w:p w14:paraId="386B759B" w14:textId="77777777" w:rsidR="009B35B7" w:rsidRPr="0086692D" w:rsidRDefault="009B35B7" w:rsidP="009B35B7">
      <w:pPr>
        <w:spacing w:after="40" w:line="240" w:lineRule="auto"/>
        <w:rPr>
          <w:sz w:val="22"/>
          <w:szCs w:val="22"/>
        </w:rPr>
      </w:pPr>
      <w:r w:rsidRPr="0086692D">
        <w:rPr>
          <w:sz w:val="22"/>
          <w:szCs w:val="22"/>
        </w:rPr>
        <w:t xml:space="preserve">Email: </w:t>
      </w:r>
      <w:hyperlink r:id="rId12" w:history="1">
        <w:r w:rsidRPr="0086692D">
          <w:rPr>
            <w:color w:val="0000FF"/>
            <w:sz w:val="22"/>
            <w:szCs w:val="22"/>
            <w:u w:val="single"/>
          </w:rPr>
          <w:t>cultural.heritage@dsdsatsip.qld.gov.au</w:t>
        </w:r>
      </w:hyperlink>
      <w:r w:rsidRPr="0086692D">
        <w:rPr>
          <w:sz w:val="22"/>
          <w:szCs w:val="22"/>
        </w:rPr>
        <w:t xml:space="preserve"> </w:t>
      </w:r>
    </w:p>
    <w:p w14:paraId="0D8B7B60" w14:textId="77777777" w:rsidR="009B35B7" w:rsidRPr="0086692D" w:rsidRDefault="009B35B7" w:rsidP="009B35B7">
      <w:pPr>
        <w:spacing w:after="40"/>
        <w:rPr>
          <w:sz w:val="22"/>
          <w:szCs w:val="22"/>
        </w:rPr>
      </w:pPr>
    </w:p>
    <w:p w14:paraId="3B08D0F7" w14:textId="77777777" w:rsidR="009B35B7" w:rsidRPr="0086692D" w:rsidRDefault="009B35B7" w:rsidP="009B35B7">
      <w:pPr>
        <w:spacing w:after="40"/>
        <w:rPr>
          <w:color w:val="0000FF"/>
          <w:sz w:val="22"/>
          <w:szCs w:val="22"/>
          <w:u w:val="single"/>
        </w:rPr>
      </w:pPr>
      <w:r w:rsidRPr="0086692D">
        <w:rPr>
          <w:sz w:val="22"/>
          <w:szCs w:val="22"/>
        </w:rPr>
        <w:t xml:space="preserve">Visit the departmental website: </w:t>
      </w:r>
      <w:hyperlink r:id="rId13" w:history="1">
        <w:r w:rsidRPr="0086692D">
          <w:rPr>
            <w:color w:val="0000FF"/>
            <w:sz w:val="22"/>
            <w:szCs w:val="22"/>
            <w:u w:val="single"/>
          </w:rPr>
          <w:t>https://www.qld.gov.au/firstnations/environment-land-use-native-title/cultural-heritage/human-remains</w:t>
        </w:r>
      </w:hyperlink>
    </w:p>
    <w:p w14:paraId="6E05ACD0" w14:textId="77777777" w:rsidR="009B35B7" w:rsidRPr="00CB401B" w:rsidRDefault="009B35B7" w:rsidP="009B35B7">
      <w:pPr>
        <w:tabs>
          <w:tab w:val="left" w:pos="1057"/>
        </w:tabs>
      </w:pPr>
    </w:p>
    <w:sectPr w:rsidR="009B35B7" w:rsidRPr="00CB401B" w:rsidSect="00854A5E">
      <w:footerReference w:type="default" r:id="rId14"/>
      <w:headerReference w:type="first" r:id="rId15"/>
      <w:footerReference w:type="first" r:id="rId16"/>
      <w:endnotePr>
        <w:numFmt w:val="decimal"/>
      </w:endnotePr>
      <w:pgSz w:w="11906" w:h="16838" w:code="9"/>
      <w:pgMar w:top="1418" w:right="1134" w:bottom="1021" w:left="1134" w:header="680"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125E" w14:textId="77777777" w:rsidR="009D61E6" w:rsidRDefault="009D61E6" w:rsidP="00DB66C3">
      <w:r>
        <w:separator/>
      </w:r>
    </w:p>
    <w:p w14:paraId="74376814" w14:textId="77777777" w:rsidR="009D61E6" w:rsidRDefault="009D61E6" w:rsidP="00DB66C3"/>
    <w:p w14:paraId="0CA0AF7F" w14:textId="77777777" w:rsidR="009D61E6" w:rsidRDefault="009D61E6"/>
  </w:endnote>
  <w:endnote w:type="continuationSeparator" w:id="0">
    <w:p w14:paraId="45DB44F3" w14:textId="77777777" w:rsidR="009D61E6" w:rsidRDefault="009D61E6" w:rsidP="00DB66C3">
      <w:r>
        <w:continuationSeparator/>
      </w:r>
    </w:p>
    <w:p w14:paraId="07F109F4" w14:textId="77777777" w:rsidR="009D61E6" w:rsidRDefault="009D61E6" w:rsidP="00DB66C3"/>
    <w:p w14:paraId="451789CA" w14:textId="77777777" w:rsidR="009D61E6" w:rsidRDefault="009D6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7E31" w14:textId="6F696397" w:rsidR="001E25CB" w:rsidRPr="00843783" w:rsidRDefault="009B35B7" w:rsidP="00B76D1E">
    <w:pPr>
      <w:pStyle w:val="Header"/>
      <w:jc w:val="center"/>
      <w:rPr>
        <w:sz w:val="22"/>
        <w:szCs w:val="22"/>
      </w:rPr>
    </w:pPr>
    <w:r>
      <w:rPr>
        <w:sz w:val="22"/>
        <w:szCs w:val="22"/>
      </w:rPr>
      <w:t>Guidelines for the discovery, handling, and management of human remains</w:t>
    </w:r>
    <w:r w:rsidR="00864985" w:rsidRPr="00843783">
      <w:rPr>
        <w:sz w:val="22"/>
        <w:szCs w:val="22"/>
      </w:rPr>
      <w:t xml:space="preserve">  </w:t>
    </w:r>
    <w:r w:rsidR="001E25CB" w:rsidRPr="00843783">
      <w:rPr>
        <w:rStyle w:val="PageNumber"/>
        <w:sz w:val="22"/>
        <w:szCs w:val="22"/>
      </w:rPr>
      <w:fldChar w:fldCharType="begin"/>
    </w:r>
    <w:r w:rsidR="001E25CB" w:rsidRPr="00843783">
      <w:rPr>
        <w:rStyle w:val="PageNumber"/>
        <w:sz w:val="22"/>
        <w:szCs w:val="22"/>
      </w:rPr>
      <w:instrText xml:space="preserve"> PAGE   \* MERGEFORMAT </w:instrText>
    </w:r>
    <w:r w:rsidR="001E25CB" w:rsidRPr="00843783">
      <w:rPr>
        <w:rStyle w:val="PageNumber"/>
        <w:sz w:val="22"/>
        <w:szCs w:val="22"/>
      </w:rPr>
      <w:fldChar w:fldCharType="separate"/>
    </w:r>
    <w:r w:rsidR="004361C0" w:rsidRPr="00843783">
      <w:rPr>
        <w:rStyle w:val="PageNumber"/>
        <w:sz w:val="22"/>
        <w:szCs w:val="22"/>
      </w:rPr>
      <w:t>i</w:t>
    </w:r>
    <w:r w:rsidR="001E25CB" w:rsidRPr="00843783">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F832" w14:textId="4B72A1CD" w:rsidR="001E25CB" w:rsidRPr="00843783" w:rsidRDefault="009B35B7" w:rsidP="00864985">
    <w:pPr>
      <w:pStyle w:val="Footer"/>
      <w:jc w:val="center"/>
      <w:rPr>
        <w:sz w:val="22"/>
        <w:szCs w:val="22"/>
      </w:rPr>
    </w:pPr>
    <w:r>
      <w:rPr>
        <w:sz w:val="22"/>
        <w:szCs w:val="22"/>
      </w:rPr>
      <w:t>Guidelines for the discovery, handling, and management of human remains</w:t>
    </w:r>
    <w:r w:rsidR="00864985" w:rsidRPr="00843783">
      <w:rPr>
        <w:sz w:val="22"/>
        <w:szCs w:val="22"/>
      </w:rPr>
      <w:t xml:space="preserve">   </w:t>
    </w:r>
    <w:r w:rsidR="001E25CB" w:rsidRPr="00843783">
      <w:rPr>
        <w:rStyle w:val="PageNumber"/>
        <w:sz w:val="22"/>
        <w:szCs w:val="22"/>
      </w:rPr>
      <w:fldChar w:fldCharType="begin"/>
    </w:r>
    <w:r w:rsidR="001E25CB" w:rsidRPr="00843783">
      <w:rPr>
        <w:rStyle w:val="PageNumber"/>
        <w:sz w:val="22"/>
        <w:szCs w:val="22"/>
      </w:rPr>
      <w:instrText xml:space="preserve"> PAGE   \* MERGEFORMAT </w:instrText>
    </w:r>
    <w:r w:rsidR="001E25CB" w:rsidRPr="00843783">
      <w:rPr>
        <w:rStyle w:val="PageNumber"/>
        <w:sz w:val="22"/>
        <w:szCs w:val="22"/>
      </w:rPr>
      <w:fldChar w:fldCharType="separate"/>
    </w:r>
    <w:r w:rsidR="004361C0" w:rsidRPr="00843783">
      <w:rPr>
        <w:rStyle w:val="PageNumber"/>
        <w:sz w:val="22"/>
        <w:szCs w:val="22"/>
      </w:rPr>
      <w:t>1</w:t>
    </w:r>
    <w:r w:rsidR="001E25CB" w:rsidRPr="00843783">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98CD" w14:textId="77777777" w:rsidR="001E25CB" w:rsidRDefault="001E25CB" w:rsidP="00FC716F">
    <w:r>
      <w:rPr>
        <w:noProof/>
        <w:lang w:val="en-AU"/>
      </w:rPr>
      <w:drawing>
        <wp:anchor distT="0" distB="0" distL="114300" distR="114300" simplePos="0" relativeHeight="251656704" behindDoc="0" locked="0" layoutInCell="1" allowOverlap="0" wp14:anchorId="6FC93D41" wp14:editId="163FCC5E">
          <wp:simplePos x="0" y="0"/>
          <wp:positionH relativeFrom="column">
            <wp:posOffset>163195</wp:posOffset>
          </wp:positionH>
          <wp:positionV relativeFrom="paragraph">
            <wp:posOffset>-3524250</wp:posOffset>
          </wp:positionV>
          <wp:extent cx="6673850" cy="454660"/>
          <wp:effectExtent l="0" t="0" r="0"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1372" w14:textId="77777777" w:rsidR="009D61E6" w:rsidRDefault="009D61E6" w:rsidP="00DB66C3">
      <w:r>
        <w:separator/>
      </w:r>
    </w:p>
    <w:p w14:paraId="209FF6ED" w14:textId="77777777" w:rsidR="009D61E6" w:rsidRDefault="009D61E6" w:rsidP="00DB66C3"/>
    <w:p w14:paraId="33D094FA" w14:textId="77777777" w:rsidR="009D61E6" w:rsidRDefault="009D61E6"/>
  </w:footnote>
  <w:footnote w:type="continuationSeparator" w:id="0">
    <w:p w14:paraId="0881352C" w14:textId="77777777" w:rsidR="009D61E6" w:rsidRDefault="009D61E6" w:rsidP="00DB66C3">
      <w:r>
        <w:continuationSeparator/>
      </w:r>
    </w:p>
    <w:p w14:paraId="5FE17DD9" w14:textId="77777777" w:rsidR="009D61E6" w:rsidRDefault="009D61E6" w:rsidP="00DB66C3"/>
    <w:p w14:paraId="68A5D5C1" w14:textId="77777777" w:rsidR="009D61E6" w:rsidRDefault="009D61E6"/>
  </w:footnote>
  <w:footnote w:id="1">
    <w:p w14:paraId="5A4AFCD8" w14:textId="77777777" w:rsidR="009B35B7" w:rsidRPr="00ED07C6" w:rsidRDefault="009B35B7" w:rsidP="009B35B7">
      <w:pPr>
        <w:pStyle w:val="FootnoteText"/>
        <w:rPr>
          <w:lang w:val="en-AU"/>
        </w:rPr>
      </w:pPr>
      <w:r>
        <w:rPr>
          <w:rStyle w:val="FootnoteReference"/>
        </w:rPr>
        <w:footnoteRef/>
      </w:r>
      <w:r>
        <w:t xml:space="preserve"> </w:t>
      </w:r>
      <w:r w:rsidRPr="00ED07C6">
        <w:rPr>
          <w:i/>
          <w:iCs/>
        </w:rPr>
        <w:t>Aboriginal Cultural Heritage Act 2003</w:t>
      </w:r>
      <w:r>
        <w:t xml:space="preserve"> schedule 2; </w:t>
      </w:r>
      <w:r w:rsidRPr="00ED07C6">
        <w:rPr>
          <w:i/>
          <w:iCs/>
        </w:rPr>
        <w:t>Torres Strait Islander Cultural Heritage Act 2003</w:t>
      </w:r>
      <w:r>
        <w:t xml:space="preserve"> schedule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A252" w14:textId="32289DC0" w:rsidR="001E25CB" w:rsidRDefault="00D84C67" w:rsidP="009F5922">
    <w:pPr>
      <w:pStyle w:val="Header"/>
    </w:pPr>
    <w:r>
      <w:drawing>
        <wp:anchor distT="0" distB="0" distL="114300" distR="114300" simplePos="0" relativeHeight="251657728" behindDoc="1" locked="0" layoutInCell="1" allowOverlap="1" wp14:anchorId="5B388CCA" wp14:editId="53243800">
          <wp:simplePos x="0" y="0"/>
          <wp:positionH relativeFrom="column">
            <wp:posOffset>-711298</wp:posOffset>
          </wp:positionH>
          <wp:positionV relativeFrom="page">
            <wp:posOffset>-9121</wp:posOffset>
          </wp:positionV>
          <wp:extent cx="7561385" cy="10687624"/>
          <wp:effectExtent l="0" t="0" r="0" b="0"/>
          <wp:wrapNone/>
          <wp:docPr id="1272293822" name="Picture 2"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93822" name="Picture 2" descr="A colorful lin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795" cy="10703751"/>
                  </a:xfrm>
                  <a:prstGeom prst="rect">
                    <a:avLst/>
                  </a:prstGeom>
                </pic:spPr>
              </pic:pic>
            </a:graphicData>
          </a:graphic>
          <wp14:sizeRelH relativeFrom="margin">
            <wp14:pctWidth>0</wp14:pctWidth>
          </wp14:sizeRelH>
          <wp14:sizeRelV relativeFrom="margin">
            <wp14:pctHeight>0</wp14:pctHeight>
          </wp14:sizeRelV>
        </wp:anchor>
      </w:drawing>
    </w:r>
    <w:r w:rsidR="001E25C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B75" w14:textId="4EC69221" w:rsidR="001E25CB" w:rsidRPr="009F5922" w:rsidRDefault="00D84C67" w:rsidP="009F5922">
    <w:pPr>
      <w:pStyle w:val="Header"/>
    </w:pPr>
    <w:r>
      <w:drawing>
        <wp:anchor distT="0" distB="0" distL="114300" distR="114300" simplePos="0" relativeHeight="251655680" behindDoc="1" locked="0" layoutInCell="1" allowOverlap="1" wp14:anchorId="32E0DB4C" wp14:editId="3B86BF8B">
          <wp:simplePos x="0" y="0"/>
          <wp:positionH relativeFrom="column">
            <wp:posOffset>-711012</wp:posOffset>
          </wp:positionH>
          <wp:positionV relativeFrom="page">
            <wp:posOffset>8402</wp:posOffset>
          </wp:positionV>
          <wp:extent cx="7526216" cy="10638062"/>
          <wp:effectExtent l="0" t="0" r="5080" b="5080"/>
          <wp:wrapNone/>
          <wp:docPr id="127111697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697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216" cy="10638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7C2" w14:textId="77777777" w:rsidR="001E25CB" w:rsidRDefault="001E25CB" w:rsidP="00FC716F">
    <w:r>
      <w:rPr>
        <w:noProof/>
        <w:lang w:val="en-AU"/>
      </w:rPr>
      <w:drawing>
        <wp:anchor distT="0" distB="0" distL="114300" distR="114300" simplePos="0" relativeHeight="251659776" behindDoc="1" locked="0" layoutInCell="1" allowOverlap="1" wp14:anchorId="5B34D1BA" wp14:editId="145EC19C">
          <wp:simplePos x="0" y="0"/>
          <wp:positionH relativeFrom="column">
            <wp:posOffset>-718185</wp:posOffset>
          </wp:positionH>
          <wp:positionV relativeFrom="paragraph">
            <wp:posOffset>-474345</wp:posOffset>
          </wp:positionV>
          <wp:extent cx="7570470" cy="10713085"/>
          <wp:effectExtent l="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58752" behindDoc="0" locked="0" layoutInCell="1" allowOverlap="0" wp14:anchorId="12364CE0" wp14:editId="482FE0A0">
          <wp:simplePos x="0" y="0"/>
          <wp:positionH relativeFrom="column">
            <wp:posOffset>882650</wp:posOffset>
          </wp:positionH>
          <wp:positionV relativeFrom="paragraph">
            <wp:posOffset>6762750</wp:posOffset>
          </wp:positionV>
          <wp:extent cx="6673850" cy="454660"/>
          <wp:effectExtent l="0" t="0" r="0" b="0"/>
          <wp:wrapNone/>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5748C810"/>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150065BA"/>
    <w:multiLevelType w:val="multilevel"/>
    <w:tmpl w:val="6A5CDC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D05207"/>
    <w:multiLevelType w:val="hybridMultilevel"/>
    <w:tmpl w:val="57DE3C86"/>
    <w:lvl w:ilvl="0" w:tplc="2EBE8856">
      <w:start w:val="1"/>
      <w:numFmt w:val="bullet"/>
      <w:pStyle w:val="ListBullet2"/>
      <w:lvlText w:val="-"/>
      <w:lvlJc w:val="left"/>
      <w:pPr>
        <w:ind w:left="717" w:hanging="360"/>
      </w:pPr>
      <w:rPr>
        <w:rFonts w:ascii="Courier New" w:hAnsi="Courier New" w:hint="default"/>
        <w:color w:val="7F7F7F" w:themeColor="text1" w:themeTint="8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604345BB"/>
    <w:multiLevelType w:val="hybridMultilevel"/>
    <w:tmpl w:val="388804EA"/>
    <w:lvl w:ilvl="0" w:tplc="A888DE54">
      <w:start w:val="1"/>
      <w:numFmt w:val="bullet"/>
      <w:pStyle w:val="Tablebullet"/>
      <w:lvlText w:val=""/>
      <w:lvlJc w:val="left"/>
      <w:pPr>
        <w:ind w:left="502"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EB2DBA"/>
    <w:multiLevelType w:val="hybridMultilevel"/>
    <w:tmpl w:val="FAB20ADC"/>
    <w:lvl w:ilvl="0" w:tplc="AFF24C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1524884">
    <w:abstractNumId w:val="1"/>
  </w:num>
  <w:num w:numId="2" w16cid:durableId="1032267222">
    <w:abstractNumId w:val="0"/>
  </w:num>
  <w:num w:numId="3" w16cid:durableId="126434535">
    <w:abstractNumId w:val="1"/>
  </w:num>
  <w:num w:numId="4" w16cid:durableId="465591141">
    <w:abstractNumId w:val="3"/>
  </w:num>
  <w:num w:numId="5" w16cid:durableId="191915865">
    <w:abstractNumId w:val="6"/>
  </w:num>
  <w:num w:numId="6" w16cid:durableId="1219366353">
    <w:abstractNumId w:val="4"/>
  </w:num>
  <w:num w:numId="7" w16cid:durableId="1719477225">
    <w:abstractNumId w:val="5"/>
  </w:num>
  <w:num w:numId="8" w16cid:durableId="2013799803">
    <w:abstractNumId w:val="2"/>
  </w:num>
  <w:num w:numId="9" w16cid:durableId="668414048">
    <w:abstractNumId w:val="8"/>
  </w:num>
  <w:num w:numId="10" w16cid:durableId="18626954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0"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22416"/>
    <w:rsid w:val="00040AD7"/>
    <w:rsid w:val="0004738B"/>
    <w:rsid w:val="00066211"/>
    <w:rsid w:val="00067B5A"/>
    <w:rsid w:val="000A69DF"/>
    <w:rsid w:val="000D3540"/>
    <w:rsid w:val="000E35A4"/>
    <w:rsid w:val="00100A82"/>
    <w:rsid w:val="001051A6"/>
    <w:rsid w:val="00113D9D"/>
    <w:rsid w:val="00117CEB"/>
    <w:rsid w:val="00120009"/>
    <w:rsid w:val="001553D6"/>
    <w:rsid w:val="00190CF2"/>
    <w:rsid w:val="001A3780"/>
    <w:rsid w:val="001A4D61"/>
    <w:rsid w:val="001A5B3C"/>
    <w:rsid w:val="001C31C5"/>
    <w:rsid w:val="001D1E3D"/>
    <w:rsid w:val="001D798A"/>
    <w:rsid w:val="001E18A2"/>
    <w:rsid w:val="001E25CB"/>
    <w:rsid w:val="001E7EF6"/>
    <w:rsid w:val="001F6479"/>
    <w:rsid w:val="001F7DF0"/>
    <w:rsid w:val="002205FA"/>
    <w:rsid w:val="00220AC5"/>
    <w:rsid w:val="00237A4E"/>
    <w:rsid w:val="00237CC2"/>
    <w:rsid w:val="00265836"/>
    <w:rsid w:val="00273A55"/>
    <w:rsid w:val="002A55FB"/>
    <w:rsid w:val="002B0DEA"/>
    <w:rsid w:val="002B29E2"/>
    <w:rsid w:val="002C0A88"/>
    <w:rsid w:val="002C127D"/>
    <w:rsid w:val="002C6206"/>
    <w:rsid w:val="0030783B"/>
    <w:rsid w:val="00321914"/>
    <w:rsid w:val="00327A32"/>
    <w:rsid w:val="00332C2F"/>
    <w:rsid w:val="00335B04"/>
    <w:rsid w:val="00340030"/>
    <w:rsid w:val="00362870"/>
    <w:rsid w:val="003C5731"/>
    <w:rsid w:val="003D745C"/>
    <w:rsid w:val="003F3AAF"/>
    <w:rsid w:val="004009F9"/>
    <w:rsid w:val="004048EE"/>
    <w:rsid w:val="00406638"/>
    <w:rsid w:val="004108F7"/>
    <w:rsid w:val="00425B34"/>
    <w:rsid w:val="0042766D"/>
    <w:rsid w:val="004361C0"/>
    <w:rsid w:val="004754AF"/>
    <w:rsid w:val="00475AF3"/>
    <w:rsid w:val="00491D27"/>
    <w:rsid w:val="004C4162"/>
    <w:rsid w:val="004F130E"/>
    <w:rsid w:val="004F4B81"/>
    <w:rsid w:val="0051291D"/>
    <w:rsid w:val="005140B2"/>
    <w:rsid w:val="00532994"/>
    <w:rsid w:val="0053654A"/>
    <w:rsid w:val="005423DF"/>
    <w:rsid w:val="00570072"/>
    <w:rsid w:val="0058531C"/>
    <w:rsid w:val="00587212"/>
    <w:rsid w:val="00596687"/>
    <w:rsid w:val="005A2429"/>
    <w:rsid w:val="005A77D5"/>
    <w:rsid w:val="005B091D"/>
    <w:rsid w:val="005F6369"/>
    <w:rsid w:val="0060703C"/>
    <w:rsid w:val="00614B3C"/>
    <w:rsid w:val="0062765B"/>
    <w:rsid w:val="006313C7"/>
    <w:rsid w:val="00631BF8"/>
    <w:rsid w:val="00673CB2"/>
    <w:rsid w:val="00675FDA"/>
    <w:rsid w:val="006902E5"/>
    <w:rsid w:val="00690593"/>
    <w:rsid w:val="0069230E"/>
    <w:rsid w:val="00697B81"/>
    <w:rsid w:val="006A4184"/>
    <w:rsid w:val="006A6474"/>
    <w:rsid w:val="006E1786"/>
    <w:rsid w:val="00711BCE"/>
    <w:rsid w:val="00742149"/>
    <w:rsid w:val="0075083A"/>
    <w:rsid w:val="007605D2"/>
    <w:rsid w:val="0079546A"/>
    <w:rsid w:val="007B5840"/>
    <w:rsid w:val="007D7152"/>
    <w:rsid w:val="007D7C76"/>
    <w:rsid w:val="007E69F9"/>
    <w:rsid w:val="00802176"/>
    <w:rsid w:val="00814EBE"/>
    <w:rsid w:val="00843783"/>
    <w:rsid w:val="00854A5E"/>
    <w:rsid w:val="00864985"/>
    <w:rsid w:val="00865087"/>
    <w:rsid w:val="00865CC7"/>
    <w:rsid w:val="00875411"/>
    <w:rsid w:val="00883B4E"/>
    <w:rsid w:val="00884027"/>
    <w:rsid w:val="0089100B"/>
    <w:rsid w:val="008971C9"/>
    <w:rsid w:val="00897AED"/>
    <w:rsid w:val="008A10C1"/>
    <w:rsid w:val="008B1E44"/>
    <w:rsid w:val="008C3EFB"/>
    <w:rsid w:val="008F0CAA"/>
    <w:rsid w:val="008F1E03"/>
    <w:rsid w:val="00915F39"/>
    <w:rsid w:val="00924D04"/>
    <w:rsid w:val="009426AB"/>
    <w:rsid w:val="00944FD1"/>
    <w:rsid w:val="009506FC"/>
    <w:rsid w:val="0095525B"/>
    <w:rsid w:val="0095743E"/>
    <w:rsid w:val="009712CC"/>
    <w:rsid w:val="00972893"/>
    <w:rsid w:val="00982B27"/>
    <w:rsid w:val="009A76C8"/>
    <w:rsid w:val="009B35B7"/>
    <w:rsid w:val="009D61E6"/>
    <w:rsid w:val="009E2096"/>
    <w:rsid w:val="009E6694"/>
    <w:rsid w:val="009F1059"/>
    <w:rsid w:val="009F5922"/>
    <w:rsid w:val="00A06CFA"/>
    <w:rsid w:val="00A320B9"/>
    <w:rsid w:val="00A37C30"/>
    <w:rsid w:val="00A42436"/>
    <w:rsid w:val="00A42ABD"/>
    <w:rsid w:val="00A42EAB"/>
    <w:rsid w:val="00A52CE5"/>
    <w:rsid w:val="00A53324"/>
    <w:rsid w:val="00A561CE"/>
    <w:rsid w:val="00A57D22"/>
    <w:rsid w:val="00A705BE"/>
    <w:rsid w:val="00A82F4D"/>
    <w:rsid w:val="00AB40EE"/>
    <w:rsid w:val="00AB5674"/>
    <w:rsid w:val="00AC4388"/>
    <w:rsid w:val="00AC7596"/>
    <w:rsid w:val="00AD735E"/>
    <w:rsid w:val="00B30353"/>
    <w:rsid w:val="00B35B32"/>
    <w:rsid w:val="00B62571"/>
    <w:rsid w:val="00B71E37"/>
    <w:rsid w:val="00B76D1E"/>
    <w:rsid w:val="00B91E05"/>
    <w:rsid w:val="00BA34D3"/>
    <w:rsid w:val="00BB171C"/>
    <w:rsid w:val="00C0188F"/>
    <w:rsid w:val="00C04578"/>
    <w:rsid w:val="00C06C34"/>
    <w:rsid w:val="00C70272"/>
    <w:rsid w:val="00C77E23"/>
    <w:rsid w:val="00C81413"/>
    <w:rsid w:val="00CA0D06"/>
    <w:rsid w:val="00CA6958"/>
    <w:rsid w:val="00CB401B"/>
    <w:rsid w:val="00CB674C"/>
    <w:rsid w:val="00CC0661"/>
    <w:rsid w:val="00CC6F98"/>
    <w:rsid w:val="00CD6BCB"/>
    <w:rsid w:val="00D23298"/>
    <w:rsid w:val="00D33705"/>
    <w:rsid w:val="00D44C2A"/>
    <w:rsid w:val="00D61BC2"/>
    <w:rsid w:val="00D713A4"/>
    <w:rsid w:val="00D76B34"/>
    <w:rsid w:val="00D76E54"/>
    <w:rsid w:val="00D84C67"/>
    <w:rsid w:val="00D85BC2"/>
    <w:rsid w:val="00D93690"/>
    <w:rsid w:val="00DB66C3"/>
    <w:rsid w:val="00DD10FA"/>
    <w:rsid w:val="00DE19FE"/>
    <w:rsid w:val="00E03BC0"/>
    <w:rsid w:val="00E04770"/>
    <w:rsid w:val="00E11B08"/>
    <w:rsid w:val="00E1387B"/>
    <w:rsid w:val="00E14C16"/>
    <w:rsid w:val="00E26549"/>
    <w:rsid w:val="00E32AAD"/>
    <w:rsid w:val="00E46F33"/>
    <w:rsid w:val="00EC59FF"/>
    <w:rsid w:val="00ED0BA0"/>
    <w:rsid w:val="00ED1AAF"/>
    <w:rsid w:val="00EE3D98"/>
    <w:rsid w:val="00F03548"/>
    <w:rsid w:val="00F22B91"/>
    <w:rsid w:val="00F22C35"/>
    <w:rsid w:val="00F23BE1"/>
    <w:rsid w:val="00F27225"/>
    <w:rsid w:val="00F300A0"/>
    <w:rsid w:val="00F76DD4"/>
    <w:rsid w:val="00FB717E"/>
    <w:rsid w:val="00FC716F"/>
    <w:rsid w:val="00FE61DF"/>
    <w:rsid w:val="00FF38D7"/>
    <w:rsid w:val="00FF5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v-text-anchor:bottom" fill="f" fillcolor="white" stroke="f">
      <v:fill color="white" on="f"/>
      <v:stroke weight=".5pt" on="f"/>
      <v:textbox inset="0,0,0,0"/>
    </o:shapedefaults>
    <o:shapelayout v:ext="edit">
      <o:idmap v:ext="edit" data="2"/>
    </o:shapelayout>
  </w:shapeDefaults>
  <w:decimalSymbol w:val="."/>
  <w:listSeparator w:val=","/>
  <w14:docId w14:val="135EF1F3"/>
  <w15:docId w15:val="{DD7DCE11-813D-44F9-B37E-5EAA596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A76C8"/>
    <w:pPr>
      <w:spacing w:after="200" w:line="276" w:lineRule="auto"/>
    </w:pPr>
    <w:rPr>
      <w:rFonts w:cs="Arial"/>
      <w:sz w:val="21"/>
      <w:szCs w:val="21"/>
      <w:lang w:val="en-US"/>
    </w:rPr>
  </w:style>
  <w:style w:type="paragraph" w:styleId="Heading1">
    <w:name w:val="heading 1"/>
    <w:basedOn w:val="Normal"/>
    <w:next w:val="Normal"/>
    <w:link w:val="Heading1Char"/>
    <w:qFormat/>
    <w:rsid w:val="00321914"/>
    <w:pPr>
      <w:keepNext/>
      <w:numPr>
        <w:numId w:val="8"/>
      </w:numPr>
      <w:spacing w:after="180" w:line="240" w:lineRule="auto"/>
      <w:outlineLvl w:val="0"/>
    </w:pPr>
    <w:rPr>
      <w:b/>
      <w:noProof/>
      <w:kern w:val="32"/>
      <w:sz w:val="32"/>
      <w:szCs w:val="32"/>
      <w:lang w:val="en-AU" w:eastAsia="en-US"/>
    </w:rPr>
  </w:style>
  <w:style w:type="paragraph" w:styleId="Heading2">
    <w:name w:val="heading 2"/>
    <w:basedOn w:val="Normal"/>
    <w:next w:val="Normal"/>
    <w:link w:val="Heading2Char"/>
    <w:qFormat/>
    <w:rsid w:val="00DD10FA"/>
    <w:pPr>
      <w:keepNext/>
      <w:numPr>
        <w:ilvl w:val="1"/>
        <w:numId w:val="8"/>
      </w:numPr>
      <w:spacing w:after="120" w:line="240" w:lineRule="auto"/>
      <w:outlineLvl w:val="1"/>
    </w:pPr>
    <w:rPr>
      <w:bCs/>
      <w:iCs/>
      <w:sz w:val="32"/>
      <w:szCs w:val="32"/>
      <w:lang w:val="en-AU" w:eastAsia="en-US"/>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10FA"/>
    <w:rPr>
      <w:rFonts w:cs="Arial"/>
      <w:bCs/>
      <w:iCs/>
      <w:sz w:val="32"/>
      <w:szCs w:val="32"/>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321914"/>
    <w:rPr>
      <w:rFonts w:cs="Arial"/>
      <w:b/>
      <w:noProof/>
      <w:kern w:val="32"/>
      <w:sz w:val="32"/>
      <w:szCs w:val="32"/>
      <w:lang w:eastAsia="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3"/>
      </w:numPr>
      <w:spacing w:after="120"/>
      <w:contextualSpacing/>
    </w:pPr>
  </w:style>
  <w:style w:type="paragraph" w:styleId="ListBullet2">
    <w:name w:val="List Bullet 2"/>
    <w:basedOn w:val="ListBullet"/>
    <w:rsid w:val="00B76D1E"/>
    <w:pPr>
      <w:numPr>
        <w:numId w:val="4"/>
      </w:numPr>
    </w:pPr>
    <w:rPr>
      <w:sz w:val="22"/>
      <w:szCs w:val="22"/>
    </w:rPr>
  </w:style>
  <w:style w:type="paragraph" w:styleId="ListNumber">
    <w:name w:val="List Number"/>
    <w:basedOn w:val="Normal"/>
    <w:rsid w:val="00B76D1E"/>
    <w:pPr>
      <w:numPr>
        <w:numId w:val="2"/>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0E35A4"/>
    <w:pPr>
      <w:tabs>
        <w:tab w:val="left" w:pos="1843"/>
        <w:tab w:val="right" w:pos="9639"/>
        <w:tab w:val="right" w:leader="dot" w:pos="14601"/>
      </w:tabs>
      <w:spacing w:after="40" w:line="240" w:lineRule="auto"/>
      <w:ind w:left="1843" w:hanging="709"/>
    </w:pPr>
    <w:rPr>
      <w:b/>
      <w:bCs/>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5"/>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6"/>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7"/>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9"/>
      </w:numPr>
    </w:pPr>
  </w:style>
  <w:style w:type="paragraph" w:styleId="FootnoteText">
    <w:name w:val="footnote text"/>
    <w:basedOn w:val="Normal"/>
    <w:link w:val="FootnoteTextChar"/>
    <w:uiPriority w:val="99"/>
    <w:semiHidden/>
    <w:unhideWhenUsed/>
    <w:rsid w:val="009B3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5B7"/>
    <w:rPr>
      <w:rFonts w:cs="Arial"/>
      <w:lang w:val="en-US"/>
    </w:rPr>
  </w:style>
  <w:style w:type="character" w:styleId="FootnoteReference">
    <w:name w:val="footnote reference"/>
    <w:basedOn w:val="DefaultParagraphFont"/>
    <w:uiPriority w:val="99"/>
    <w:semiHidden/>
    <w:unhideWhenUsed/>
    <w:rsid w:val="009B3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qld.gov.au/firstnations/environment-land-use-native-title/cultural-heritage/human-remai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l.heritage@dsdsatsip.qld.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DTATSIPCA report template - A4 portrait</vt:lpstr>
    </vt:vector>
  </TitlesOfParts>
  <Manager/>
  <Company>Department of Treaty, Aboriginal and Torres Strait Islander Partnerships, Communities and the Arts</Company>
  <LinksUpToDate>false</LinksUpToDate>
  <CharactersWithSpaces>7596</CharactersWithSpaces>
  <SharedDoc>false</SharedDoc>
  <HyperlinkBase/>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discovery, handling and management of human remains</dc:title>
  <dc:subject>&lt;insert subject&gt;</dc:subject>
  <dc:creator>Queensland Government</dc:creator>
  <cp:keywords>guidelines, human remains, discovery</cp:keywords>
  <cp:lastModifiedBy>Kerry Huang</cp:lastModifiedBy>
  <cp:revision>3</cp:revision>
  <cp:lastPrinted>2013-03-15T05:03:00Z</cp:lastPrinted>
  <dcterms:created xsi:type="dcterms:W3CDTF">2024-07-10T05:40:00Z</dcterms:created>
  <dcterms:modified xsi:type="dcterms:W3CDTF">2024-07-10T23:51:00Z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ies>
</file>